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FCA3" w14:textId="0C2ADF1C" w:rsidR="00CE34C2" w:rsidRPr="00802F7D" w:rsidRDefault="00802F7D" w:rsidP="00802F7D">
      <w:pPr>
        <w:autoSpaceDE w:val="0"/>
        <w:spacing w:before="240" w:after="60"/>
        <w:jc w:val="center"/>
        <w:rPr>
          <w:b/>
          <w:bCs/>
          <w:color w:val="000000"/>
          <w:sz w:val="40"/>
          <w:szCs w:val="40"/>
        </w:rPr>
      </w:pPr>
      <w:bookmarkStart w:id="0" w:name="OLE_LINK1"/>
      <w:bookmarkStart w:id="1" w:name="OLE_LINK2"/>
      <w:bookmarkStart w:id="2" w:name="OLE_LINK3"/>
      <w:r>
        <w:rPr>
          <w:b/>
          <w:bCs/>
          <w:color w:val="000000"/>
          <w:sz w:val="40"/>
          <w:szCs w:val="40"/>
        </w:rPr>
        <w:t>Statusskema (</w:t>
      </w:r>
      <w:r w:rsidR="00F13657">
        <w:rPr>
          <w:b/>
          <w:bCs/>
          <w:color w:val="000000"/>
          <w:sz w:val="40"/>
          <w:szCs w:val="40"/>
        </w:rPr>
        <w:t>RI05</w:t>
      </w:r>
      <w:r>
        <w:rPr>
          <w:b/>
          <w:bCs/>
          <w:color w:val="000000"/>
          <w:sz w:val="40"/>
          <w:szCs w:val="40"/>
        </w:rPr>
        <w:t>)</w:t>
      </w:r>
      <w:r w:rsidR="009E15D6">
        <w:rPr>
          <w:b/>
          <w:bCs/>
          <w:color w:val="000000"/>
          <w:sz w:val="40"/>
          <w:szCs w:val="40"/>
        </w:rPr>
        <w:t xml:space="preserve"> </w:t>
      </w:r>
    </w:p>
    <w:p w14:paraId="2760B7A2" w14:textId="77777777" w:rsidR="00F52A0B" w:rsidRPr="00FF6C0B" w:rsidRDefault="00802F7D" w:rsidP="00802F7D">
      <w:pPr>
        <w:autoSpaceDE w:val="0"/>
        <w:spacing w:before="240" w:after="60"/>
        <w:jc w:val="center"/>
        <w:rPr>
          <w:b/>
          <w:bCs/>
          <w:color w:val="000000"/>
          <w:sz w:val="40"/>
          <w:szCs w:val="40"/>
        </w:rPr>
      </w:pPr>
      <w:bookmarkStart w:id="3" w:name="OLE_LINK4"/>
      <w:bookmarkStart w:id="4" w:name="OLE_LINK5"/>
      <w:bookmarkEnd w:id="0"/>
      <w:bookmarkEnd w:id="1"/>
      <w:bookmarkEnd w:id="2"/>
      <w:r>
        <w:rPr>
          <w:b/>
          <w:bCs/>
          <w:color w:val="000000"/>
          <w:sz w:val="40"/>
          <w:szCs w:val="40"/>
        </w:rPr>
        <w:t>Statusskema for pengeinstitutter og realkreditinstitutter</w:t>
      </w:r>
    </w:p>
    <w:p w14:paraId="44718117" w14:textId="77777777" w:rsidR="00CE34C2" w:rsidRPr="00F52A0B" w:rsidRDefault="00802F7D" w:rsidP="00802F7D">
      <w:pPr>
        <w:autoSpaceDE w:val="0"/>
        <w:spacing w:before="240" w:after="60"/>
        <w:jc w:val="center"/>
        <w:rPr>
          <w:b/>
          <w:bCs/>
          <w:color w:val="000000"/>
          <w:sz w:val="40"/>
          <w:szCs w:val="40"/>
        </w:rPr>
      </w:pPr>
      <w:bookmarkStart w:id="5" w:name="_GoBack"/>
      <w:bookmarkEnd w:id="3"/>
      <w:bookmarkEnd w:id="4"/>
      <w:bookmarkEnd w:id="5"/>
      <w:r>
        <w:rPr>
          <w:b/>
          <w:bCs/>
          <w:color w:val="000000"/>
          <w:sz w:val="40"/>
          <w:szCs w:val="40"/>
        </w:rPr>
        <w:t>Kapitalstruktur</w:t>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r w:rsidRPr="00170F49">
        <w:rPr>
          <w:b/>
          <w:bCs/>
          <w:color w:val="000000"/>
          <w:sz w:val="40"/>
          <w:szCs w:val="40"/>
        </w:rPr>
        <w:softHyphen/>
      </w:r>
    </w:p>
    <w:p w14:paraId="517234E2" w14:textId="77777777" w:rsidR="00CE34C2" w:rsidRPr="00962895" w:rsidRDefault="00CE34C2" w:rsidP="00CE34C2">
      <w:pPr>
        <w:pBdr>
          <w:bottom w:val="single" w:sz="12" w:space="1" w:color="auto"/>
        </w:pBdr>
      </w:pPr>
    </w:p>
    <w:p w14:paraId="2563A0AA" w14:textId="77777777" w:rsidR="00CE34C2" w:rsidRPr="00962895" w:rsidRDefault="00CE34C2" w:rsidP="00CE34C2"/>
    <w:p w14:paraId="7A175612" w14:textId="77777777" w:rsidR="00CE34C2" w:rsidRPr="00962895" w:rsidRDefault="00CE34C2" w:rsidP="00CE34C2"/>
    <w:p w14:paraId="6C4DF935" w14:textId="77777777" w:rsidR="00CE34C2" w:rsidRPr="00962895" w:rsidRDefault="00CE34C2" w:rsidP="00CE34C2"/>
    <w:p w14:paraId="065E4C16" w14:textId="77777777" w:rsidR="008235CE" w:rsidRPr="00A679DB" w:rsidRDefault="008235CE" w:rsidP="008235CE">
      <w:r>
        <w:t>Virksomhedens</w:t>
      </w:r>
      <w:r w:rsidRPr="00A679DB">
        <w:t xml:space="preserve"> navn: </w:t>
      </w:r>
      <w:r w:rsidRPr="00A679DB">
        <w:fldChar w:fldCharType="begin">
          <w:ffData>
            <w:name w:val="Tekst1"/>
            <w:enabled/>
            <w:calcOnExit w:val="0"/>
            <w:textInput/>
          </w:ffData>
        </w:fldChar>
      </w:r>
      <w:r w:rsidRPr="00A679DB">
        <w:instrText xml:space="preserve"> FORMTEXT </w:instrText>
      </w:r>
      <w:r w:rsidRPr="00A679DB">
        <w:fldChar w:fldCharType="separate"/>
      </w:r>
      <w:r w:rsidR="00540A1C">
        <w:t> </w:t>
      </w:r>
      <w:r w:rsidR="00540A1C">
        <w:t> </w:t>
      </w:r>
      <w:r w:rsidR="00540A1C">
        <w:t> </w:t>
      </w:r>
      <w:r w:rsidR="00540A1C">
        <w:t> </w:t>
      </w:r>
      <w:r w:rsidR="00540A1C">
        <w:t> </w:t>
      </w:r>
      <w:r w:rsidRPr="00A679DB">
        <w:fldChar w:fldCharType="end"/>
      </w:r>
    </w:p>
    <w:p w14:paraId="6A9995C5" w14:textId="77777777" w:rsidR="008235CE" w:rsidRPr="00A679DB" w:rsidRDefault="008235CE" w:rsidP="008235CE"/>
    <w:p w14:paraId="2113A619" w14:textId="77777777" w:rsidR="008235CE" w:rsidRPr="00A679DB" w:rsidRDefault="008C708D" w:rsidP="008235CE">
      <w:r>
        <w:t>Virksomhedens</w:t>
      </w:r>
      <w:r w:rsidR="008235CE" w:rsidRPr="00A679DB">
        <w:t xml:space="preserve"> FT nr.: </w:t>
      </w:r>
      <w:r w:rsidR="008235CE" w:rsidRPr="00A679DB">
        <w:fldChar w:fldCharType="begin">
          <w:ffData>
            <w:name w:val="Tekst1"/>
            <w:enabled/>
            <w:calcOnExit w:val="0"/>
            <w:textInput/>
          </w:ffData>
        </w:fldChar>
      </w:r>
      <w:r w:rsidR="008235CE" w:rsidRPr="00A679DB">
        <w:instrText xml:space="preserve"> FORMTEXT </w:instrText>
      </w:r>
      <w:r w:rsidR="008235CE" w:rsidRPr="00A679DB">
        <w:fldChar w:fldCharType="separate"/>
      </w:r>
      <w:r w:rsidR="008235CE" w:rsidRPr="00A679DB">
        <w:t> </w:t>
      </w:r>
      <w:r w:rsidR="008235CE" w:rsidRPr="00A679DB">
        <w:t> </w:t>
      </w:r>
      <w:r w:rsidR="008235CE" w:rsidRPr="00A679DB">
        <w:t> </w:t>
      </w:r>
      <w:r w:rsidR="008235CE" w:rsidRPr="00A679DB">
        <w:t> </w:t>
      </w:r>
      <w:r w:rsidR="008235CE" w:rsidRPr="00A679DB">
        <w:t> </w:t>
      </w:r>
      <w:r w:rsidR="008235CE" w:rsidRPr="00A679DB">
        <w:fldChar w:fldCharType="end"/>
      </w:r>
    </w:p>
    <w:p w14:paraId="09D7C668" w14:textId="77777777" w:rsidR="008235CE" w:rsidRPr="00A679DB" w:rsidRDefault="008235CE" w:rsidP="008235CE"/>
    <w:p w14:paraId="35E33589" w14:textId="77777777" w:rsidR="008235CE" w:rsidRPr="00A679DB" w:rsidRDefault="008235CE" w:rsidP="008235CE">
      <w:r w:rsidRPr="00A679DB">
        <w:t xml:space="preserve">Kontaktperson: </w:t>
      </w:r>
      <w:r w:rsidRPr="00A679DB">
        <w:fldChar w:fldCharType="begin">
          <w:ffData>
            <w:name w:val="Tekst1"/>
            <w:enabled/>
            <w:calcOnExit w:val="0"/>
            <w:textInput/>
          </w:ffData>
        </w:fldChar>
      </w:r>
      <w:r w:rsidRPr="00A679DB">
        <w:instrText xml:space="preserve"> FORMTEXT </w:instrText>
      </w:r>
      <w:r w:rsidRPr="00A679DB">
        <w:fldChar w:fldCharType="separate"/>
      </w:r>
      <w:r w:rsidRPr="00A679DB">
        <w:t> </w:t>
      </w:r>
      <w:r w:rsidRPr="00A679DB">
        <w:t> </w:t>
      </w:r>
      <w:r w:rsidRPr="00A679DB">
        <w:t> </w:t>
      </w:r>
      <w:r w:rsidRPr="00A679DB">
        <w:t> </w:t>
      </w:r>
      <w:r w:rsidRPr="00A679DB">
        <w:t> </w:t>
      </w:r>
      <w:r w:rsidRPr="00A679DB">
        <w:fldChar w:fldCharType="end"/>
      </w:r>
    </w:p>
    <w:p w14:paraId="6889939F" w14:textId="77777777" w:rsidR="008235CE" w:rsidRPr="00A679DB" w:rsidRDefault="008235CE" w:rsidP="008235CE"/>
    <w:p w14:paraId="00F12637" w14:textId="77777777" w:rsidR="008235CE" w:rsidRPr="00A679DB" w:rsidRDefault="008235CE" w:rsidP="008235CE">
      <w:r w:rsidRPr="00A679DB">
        <w:t xml:space="preserve">Tlf. nr.: </w:t>
      </w:r>
      <w:r w:rsidRPr="00A679DB">
        <w:fldChar w:fldCharType="begin">
          <w:ffData>
            <w:name w:val="Tekst1"/>
            <w:enabled/>
            <w:calcOnExit w:val="0"/>
            <w:textInput/>
          </w:ffData>
        </w:fldChar>
      </w:r>
      <w:r w:rsidRPr="00A679DB">
        <w:instrText xml:space="preserve"> FORMTEXT </w:instrText>
      </w:r>
      <w:r w:rsidRPr="00A679DB">
        <w:fldChar w:fldCharType="separate"/>
      </w:r>
      <w:r w:rsidRPr="00A679DB">
        <w:t> </w:t>
      </w:r>
      <w:r w:rsidRPr="00A679DB">
        <w:t> </w:t>
      </w:r>
      <w:r w:rsidRPr="00A679DB">
        <w:t> </w:t>
      </w:r>
      <w:r w:rsidRPr="00A679DB">
        <w:t> </w:t>
      </w:r>
      <w:r w:rsidRPr="00A679DB">
        <w:t> </w:t>
      </w:r>
      <w:r w:rsidRPr="00A679DB">
        <w:fldChar w:fldCharType="end"/>
      </w:r>
    </w:p>
    <w:p w14:paraId="3E53AB3A" w14:textId="77777777" w:rsidR="008235CE" w:rsidRPr="00A679DB" w:rsidRDefault="008235CE" w:rsidP="008235CE"/>
    <w:p w14:paraId="2ADCA019" w14:textId="77777777" w:rsidR="008235CE" w:rsidRPr="00A679DB" w:rsidRDefault="008235CE" w:rsidP="008235CE">
      <w:r w:rsidRPr="00A679DB">
        <w:t xml:space="preserve">E-mail: </w:t>
      </w:r>
      <w:r w:rsidRPr="00A679DB">
        <w:fldChar w:fldCharType="begin">
          <w:ffData>
            <w:name w:val="Tekst1"/>
            <w:enabled/>
            <w:calcOnExit w:val="0"/>
            <w:textInput/>
          </w:ffData>
        </w:fldChar>
      </w:r>
      <w:r w:rsidRPr="00A679DB">
        <w:instrText xml:space="preserve"> FORMTEXT </w:instrText>
      </w:r>
      <w:r w:rsidRPr="00A679DB">
        <w:fldChar w:fldCharType="separate"/>
      </w:r>
      <w:r w:rsidRPr="00A679DB">
        <w:t> </w:t>
      </w:r>
      <w:r w:rsidRPr="00A679DB">
        <w:t> </w:t>
      </w:r>
      <w:r w:rsidRPr="00A679DB">
        <w:t> </w:t>
      </w:r>
      <w:r w:rsidRPr="00A679DB">
        <w:t> </w:t>
      </w:r>
      <w:r w:rsidRPr="00A679DB">
        <w:t> </w:t>
      </w:r>
      <w:r w:rsidRPr="00A679DB">
        <w:fldChar w:fldCharType="end"/>
      </w:r>
    </w:p>
    <w:p w14:paraId="6CF69DB8" w14:textId="77777777" w:rsidR="008235CE" w:rsidRPr="00A679DB" w:rsidRDefault="008235CE" w:rsidP="008235CE"/>
    <w:p w14:paraId="4C0D965A" w14:textId="77777777" w:rsidR="008235CE" w:rsidRPr="00A679DB" w:rsidRDefault="008235CE" w:rsidP="008235CE">
      <w:pPr>
        <w:rPr>
          <w:i/>
        </w:rPr>
      </w:pPr>
      <w:r w:rsidRPr="00A679DB">
        <w:t xml:space="preserve">Særlige bemærkninger - </w:t>
      </w:r>
      <w:r w:rsidRPr="00A679DB">
        <w:rPr>
          <w:i/>
        </w:rPr>
        <w:t>Forbeholdt Finanstilsynet</w:t>
      </w:r>
      <w:r w:rsidRPr="00A679DB">
        <w:t xml:space="preserve">: </w:t>
      </w:r>
      <w:r w:rsidRPr="00A679DB">
        <w:fldChar w:fldCharType="begin">
          <w:ffData>
            <w:name w:val="Tekst49"/>
            <w:enabled/>
            <w:calcOnExit w:val="0"/>
            <w:textInput/>
          </w:ffData>
        </w:fldChar>
      </w:r>
      <w:bookmarkStart w:id="6" w:name="Tekst49"/>
      <w:r w:rsidRPr="00A679DB">
        <w:instrText xml:space="preserve"> FORMTEXT </w:instrText>
      </w:r>
      <w:r w:rsidRPr="00A679DB">
        <w:fldChar w:fldCharType="separate"/>
      </w:r>
      <w:r w:rsidRPr="00A679DB">
        <w:rPr>
          <w:noProof/>
        </w:rPr>
        <w:t> </w:t>
      </w:r>
      <w:r w:rsidRPr="00A679DB">
        <w:rPr>
          <w:noProof/>
        </w:rPr>
        <w:t> </w:t>
      </w:r>
      <w:r w:rsidRPr="00A679DB">
        <w:rPr>
          <w:noProof/>
        </w:rPr>
        <w:t> </w:t>
      </w:r>
      <w:r w:rsidRPr="00A679DB">
        <w:rPr>
          <w:noProof/>
        </w:rPr>
        <w:t> </w:t>
      </w:r>
      <w:r w:rsidRPr="00A679DB">
        <w:rPr>
          <w:noProof/>
        </w:rPr>
        <w:t> </w:t>
      </w:r>
      <w:r w:rsidRPr="00A679DB">
        <w:fldChar w:fldCharType="end"/>
      </w:r>
      <w:bookmarkEnd w:id="6"/>
      <w:r w:rsidRPr="00A679DB">
        <w:t xml:space="preserve"> </w:t>
      </w:r>
    </w:p>
    <w:p w14:paraId="404DD3EF" w14:textId="77777777" w:rsidR="008235CE" w:rsidRPr="00962895" w:rsidRDefault="008235CE" w:rsidP="008235CE"/>
    <w:p w14:paraId="04C85E7B" w14:textId="77777777" w:rsidR="008235CE" w:rsidRPr="00962895" w:rsidRDefault="008235CE" w:rsidP="008235CE"/>
    <w:p w14:paraId="15DD4251" w14:textId="77777777" w:rsidR="008235CE" w:rsidRPr="00962895" w:rsidRDefault="008235CE" w:rsidP="008235CE"/>
    <w:p w14:paraId="6445E8A7" w14:textId="77777777" w:rsidR="008235CE" w:rsidRPr="00962895" w:rsidRDefault="008235CE" w:rsidP="008235CE"/>
    <w:p w14:paraId="68FB3697" w14:textId="77777777" w:rsidR="008235CE" w:rsidRPr="00962895" w:rsidRDefault="008235CE" w:rsidP="008235CE"/>
    <w:p w14:paraId="086A3C97" w14:textId="3CC0292D" w:rsidR="005122E5" w:rsidRPr="00855188" w:rsidRDefault="005122E5" w:rsidP="008235CE">
      <w:r w:rsidRPr="00855188">
        <w:t xml:space="preserve">Version af </w:t>
      </w:r>
      <w:r w:rsidR="00113BE6">
        <w:t>januar 2020</w:t>
      </w:r>
    </w:p>
    <w:p w14:paraId="6EA31863" w14:textId="77777777" w:rsidR="005122E5" w:rsidRDefault="005122E5" w:rsidP="008235CE">
      <w:pPr>
        <w:rPr>
          <w:highlight w:val="yellow"/>
        </w:rPr>
      </w:pPr>
    </w:p>
    <w:p w14:paraId="01EB7C43" w14:textId="77777777" w:rsidR="00CE34C2" w:rsidRPr="0054307A" w:rsidRDefault="00CE34C2" w:rsidP="008235CE">
      <w:pPr>
        <w:rPr>
          <w:b/>
        </w:rPr>
      </w:pPr>
      <w:r w:rsidRPr="00962895">
        <w:br w:type="page"/>
      </w:r>
      <w:r w:rsidRPr="0054307A">
        <w:rPr>
          <w:b/>
        </w:rPr>
        <w:lastRenderedPageBreak/>
        <w:t>Vejledning i udfyldelse af skemaet</w:t>
      </w:r>
      <w:r w:rsidR="0054307A" w:rsidRPr="0054307A">
        <w:rPr>
          <w:b/>
        </w:rPr>
        <w:t xml:space="preserve"> </w:t>
      </w:r>
    </w:p>
    <w:p w14:paraId="420AD834" w14:textId="77777777" w:rsidR="00CE34C2" w:rsidRPr="0054307A" w:rsidRDefault="00CE34C2" w:rsidP="00CE34C2">
      <w:pPr>
        <w:jc w:val="both"/>
        <w:rPr>
          <w:b/>
        </w:rPr>
      </w:pPr>
    </w:p>
    <w:p w14:paraId="35150FC5" w14:textId="77777777" w:rsidR="00187A63" w:rsidRPr="0054307A" w:rsidRDefault="00187A63" w:rsidP="00A470FB">
      <w:pPr>
        <w:numPr>
          <w:ilvl w:val="0"/>
          <w:numId w:val="1"/>
        </w:numPr>
        <w:spacing w:line="480" w:lineRule="auto"/>
        <w:jc w:val="both"/>
      </w:pPr>
      <w:r w:rsidRPr="0054307A">
        <w:t xml:space="preserve">Statusskemaer i </w:t>
      </w:r>
      <w:r w:rsidRPr="0054307A">
        <w:rPr>
          <w:u w:val="single"/>
        </w:rPr>
        <w:t>kort form</w:t>
      </w:r>
      <w:r w:rsidRPr="0054307A">
        <w:t>: Alle spørgsmål skal besvares med ”ja” eller ”nej”. Alle ”nej”-svar skal begrundes/dokumenteres</w:t>
      </w:r>
    </w:p>
    <w:p w14:paraId="040AD0FC" w14:textId="77777777" w:rsidR="00187A63" w:rsidRPr="0054307A" w:rsidRDefault="00187A63" w:rsidP="00A470FB">
      <w:pPr>
        <w:numPr>
          <w:ilvl w:val="0"/>
          <w:numId w:val="1"/>
        </w:numPr>
        <w:spacing w:line="480" w:lineRule="auto"/>
        <w:jc w:val="both"/>
      </w:pPr>
      <w:r w:rsidRPr="0054307A">
        <w:t xml:space="preserve">Statusskemaer i </w:t>
      </w:r>
      <w:r w:rsidRPr="0054307A">
        <w:rPr>
          <w:u w:val="single"/>
        </w:rPr>
        <w:t>udvidet form</w:t>
      </w:r>
      <w:r w:rsidRPr="0054307A">
        <w:t>: Alle spørgsmål skal besvares med ”ja” eller ”nej”. Alle ”ja”-svar skal dokumenteres. Alle ”nej”-svar skal begrundes/dokumenteres</w:t>
      </w:r>
    </w:p>
    <w:p w14:paraId="2E0013E9" w14:textId="77777777" w:rsidR="00187A63" w:rsidRPr="0054307A" w:rsidRDefault="00187A63" w:rsidP="00A470FB">
      <w:pPr>
        <w:numPr>
          <w:ilvl w:val="0"/>
          <w:numId w:val="1"/>
        </w:numPr>
        <w:spacing w:line="480" w:lineRule="auto"/>
        <w:jc w:val="both"/>
      </w:pPr>
      <w:r w:rsidRPr="0054307A">
        <w:t>Besvarelsen skal være så udførlig, at Finanstilsynet kan danne sig et klart indtryk af, om virksomhedens egen vurdering er korrekt</w:t>
      </w:r>
    </w:p>
    <w:p w14:paraId="5408AC9B" w14:textId="77777777" w:rsidR="00187A63" w:rsidRPr="0054307A" w:rsidRDefault="00187A63" w:rsidP="00A470FB">
      <w:pPr>
        <w:numPr>
          <w:ilvl w:val="0"/>
          <w:numId w:val="1"/>
        </w:numPr>
        <w:spacing w:line="480" w:lineRule="auto"/>
        <w:jc w:val="both"/>
      </w:pPr>
      <w:r w:rsidRPr="0054307A">
        <w:t xml:space="preserve">Al dokumentation skal anføres i skemaet eller vedlægges skriftligt, medmindre der henvises specifikt til materiale, som tilsynet har rekvireret eller på anden måde har direkte adgang til </w:t>
      </w:r>
    </w:p>
    <w:p w14:paraId="6BD2A3C7" w14:textId="77777777" w:rsidR="00187A63" w:rsidRPr="0054307A" w:rsidRDefault="00187A63" w:rsidP="00A470FB">
      <w:pPr>
        <w:numPr>
          <w:ilvl w:val="0"/>
          <w:numId w:val="1"/>
        </w:numPr>
        <w:spacing w:line="480" w:lineRule="auto"/>
        <w:jc w:val="both"/>
      </w:pPr>
      <w:r w:rsidRPr="0054307A">
        <w:t>Besvarelsen skal kunne stå alene for hvert spørgsmål</w:t>
      </w:r>
    </w:p>
    <w:p w14:paraId="0AE1F199" w14:textId="77777777" w:rsidR="00187A63" w:rsidRPr="0054307A" w:rsidRDefault="00187A63" w:rsidP="00A470FB">
      <w:pPr>
        <w:numPr>
          <w:ilvl w:val="0"/>
          <w:numId w:val="1"/>
        </w:numPr>
        <w:spacing w:line="480" w:lineRule="auto"/>
        <w:jc w:val="both"/>
      </w:pPr>
      <w:r w:rsidRPr="0054307A">
        <w:t>Dokumentation skal være aktuel/opdateret og fyldestgørende</w:t>
      </w:r>
    </w:p>
    <w:p w14:paraId="18FE2811" w14:textId="77777777" w:rsidR="00187A63" w:rsidRPr="0054307A" w:rsidRDefault="00187A63" w:rsidP="00A470FB">
      <w:pPr>
        <w:numPr>
          <w:ilvl w:val="0"/>
          <w:numId w:val="1"/>
        </w:numPr>
        <w:spacing w:line="480" w:lineRule="auto"/>
        <w:jc w:val="both"/>
      </w:pPr>
      <w:r w:rsidRPr="0054307A">
        <w:t>Dokumentationen skal være overskuelig og må ikke forudsætte, at Finanstilsynet sætter sig ind i store mængder materiale</w:t>
      </w:r>
    </w:p>
    <w:p w14:paraId="6953D177" w14:textId="77777777" w:rsidR="00187A63" w:rsidRPr="0054307A" w:rsidRDefault="00187A63" w:rsidP="00A470FB">
      <w:pPr>
        <w:numPr>
          <w:ilvl w:val="0"/>
          <w:numId w:val="1"/>
        </w:numPr>
        <w:spacing w:line="480" w:lineRule="auto"/>
        <w:jc w:val="both"/>
      </w:pPr>
      <w:r w:rsidRPr="0054307A">
        <w:t>Ved henvisninger til materiale skal der henvises præcist til, hvor det står (dokument, side, afsnit, nummer)</w:t>
      </w:r>
    </w:p>
    <w:p w14:paraId="4F97B266" w14:textId="77777777" w:rsidR="00187A63" w:rsidRPr="0054307A" w:rsidRDefault="00187A63" w:rsidP="00A470FB">
      <w:pPr>
        <w:numPr>
          <w:ilvl w:val="0"/>
          <w:numId w:val="1"/>
        </w:numPr>
        <w:spacing w:line="480" w:lineRule="auto"/>
        <w:jc w:val="both"/>
      </w:pPr>
      <w:r w:rsidRPr="0054307A">
        <w:t>Hvis begrundelsen er, at spørgsmålet ikke er relevant, skal det redegøres, hvorfor dette er tilfældet, f.eks. hvorfor virksomheden finder, at den kommer under en eventuel grænse eller undtagelsesbestemmelse</w:t>
      </w:r>
    </w:p>
    <w:p w14:paraId="09A3C9AD" w14:textId="77777777" w:rsidR="00187A63" w:rsidRPr="0054307A" w:rsidRDefault="00187A63" w:rsidP="00A470FB">
      <w:pPr>
        <w:numPr>
          <w:ilvl w:val="0"/>
          <w:numId w:val="1"/>
        </w:numPr>
        <w:spacing w:line="480" w:lineRule="auto"/>
        <w:jc w:val="both"/>
      </w:pPr>
      <w:r w:rsidRPr="0054307A">
        <w:t>Hvis virksomheden ikke overholder lovgivningen, skal dette anføres. Virksomheden skal endvidere redegøre for, hvilke foranstaltninger den har truffet for at overholde lovgivningen.</w:t>
      </w:r>
    </w:p>
    <w:p w14:paraId="6B7CA46C" w14:textId="77777777" w:rsidR="00553216" w:rsidRPr="00962895" w:rsidRDefault="00553216">
      <w:r w:rsidRPr="00962895">
        <w:br w:type="page"/>
      </w:r>
    </w:p>
    <w:tbl>
      <w:tblPr>
        <w:tblW w:w="13609" w:type="dxa"/>
        <w:tblInd w:w="-34" w:type="dxa"/>
        <w:tblLayout w:type="fixed"/>
        <w:tblLook w:val="0000" w:firstRow="0" w:lastRow="0" w:firstColumn="0" w:lastColumn="0" w:noHBand="0" w:noVBand="0"/>
      </w:tblPr>
      <w:tblGrid>
        <w:gridCol w:w="3544"/>
        <w:gridCol w:w="851"/>
        <w:gridCol w:w="6946"/>
        <w:gridCol w:w="2268"/>
      </w:tblGrid>
      <w:tr w:rsidR="00553216" w:rsidRPr="00270255" w14:paraId="50A04B87" w14:textId="77777777" w:rsidTr="00B12AA5">
        <w:tc>
          <w:tcPr>
            <w:tcW w:w="13609" w:type="dxa"/>
            <w:gridSpan w:val="4"/>
            <w:tcBorders>
              <w:top w:val="single" w:sz="4" w:space="0" w:color="000000"/>
              <w:left w:val="single" w:sz="4" w:space="0" w:color="000000"/>
              <w:bottom w:val="single" w:sz="4" w:space="0" w:color="000000"/>
              <w:right w:val="single" w:sz="4" w:space="0" w:color="000000"/>
            </w:tcBorders>
          </w:tcPr>
          <w:p w14:paraId="27BCB461" w14:textId="77777777" w:rsidR="00553216" w:rsidRPr="00270255" w:rsidRDefault="00CE34C2" w:rsidP="00A470FB">
            <w:pPr>
              <w:pStyle w:val="Overskrift1"/>
              <w:numPr>
                <w:ilvl w:val="0"/>
                <w:numId w:val="2"/>
              </w:numPr>
              <w:rPr>
                <w:rFonts w:cs="Times New Roman"/>
                <w:szCs w:val="24"/>
              </w:rPr>
            </w:pPr>
            <w:r w:rsidRPr="00270255">
              <w:rPr>
                <w:rFonts w:cs="Times New Roman"/>
                <w:szCs w:val="24"/>
              </w:rPr>
              <w:lastRenderedPageBreak/>
              <w:br w:type="page"/>
            </w:r>
            <w:r w:rsidR="002427D3" w:rsidRPr="00270255">
              <w:rPr>
                <w:rFonts w:cs="Times New Roman"/>
                <w:szCs w:val="24"/>
              </w:rPr>
              <w:t>Egentlig kernekapital</w:t>
            </w:r>
          </w:p>
          <w:p w14:paraId="0D60AB82" w14:textId="77777777" w:rsidR="00D116A2" w:rsidRPr="00270255" w:rsidRDefault="00D116A2" w:rsidP="00D116A2"/>
        </w:tc>
      </w:tr>
      <w:tr w:rsidR="00553216" w:rsidRPr="00270255" w14:paraId="4723BEEC" w14:textId="77777777" w:rsidTr="00B12AA5">
        <w:tc>
          <w:tcPr>
            <w:tcW w:w="13609" w:type="dxa"/>
            <w:gridSpan w:val="4"/>
            <w:tcBorders>
              <w:left w:val="single" w:sz="4" w:space="0" w:color="000000"/>
              <w:bottom w:val="single" w:sz="4" w:space="0" w:color="000000"/>
              <w:right w:val="single" w:sz="4" w:space="0" w:color="000000"/>
            </w:tcBorders>
          </w:tcPr>
          <w:p w14:paraId="307E67D0" w14:textId="77777777" w:rsidR="00DB0A06" w:rsidRDefault="00DB0A06" w:rsidP="002427D3">
            <w:pPr>
              <w:pStyle w:val="Brdtekst"/>
              <w:rPr>
                <w:rFonts w:ascii="Times New Roman" w:hAnsi="Times New Roman"/>
                <w:sz w:val="24"/>
                <w:szCs w:val="24"/>
              </w:rPr>
            </w:pPr>
          </w:p>
          <w:p w14:paraId="7C61745F" w14:textId="32F87E9D" w:rsidR="002427D3" w:rsidRPr="00270255" w:rsidRDefault="002427D3" w:rsidP="00BF7179">
            <w:pPr>
              <w:pStyle w:val="Brdtekst"/>
              <w:rPr>
                <w:rFonts w:ascii="Times New Roman" w:hAnsi="Times New Roman"/>
                <w:sz w:val="24"/>
                <w:szCs w:val="24"/>
              </w:rPr>
            </w:pPr>
            <w:r w:rsidRPr="00270255">
              <w:rPr>
                <w:rFonts w:ascii="Times New Roman" w:hAnsi="Times New Roman"/>
                <w:sz w:val="24"/>
                <w:szCs w:val="24"/>
              </w:rPr>
              <w:t xml:space="preserve">Ifølge </w:t>
            </w:r>
            <w:r w:rsidR="00BF7179" w:rsidRPr="00BF7179">
              <w:rPr>
                <w:rFonts w:ascii="Times New Roman" w:hAnsi="Times New Roman"/>
                <w:sz w:val="24"/>
                <w:szCs w:val="24"/>
              </w:rPr>
              <w:t>E</w:t>
            </w:r>
            <w:r w:rsidR="00BF7179">
              <w:rPr>
                <w:rFonts w:ascii="Times New Roman" w:hAnsi="Times New Roman"/>
                <w:sz w:val="24"/>
                <w:szCs w:val="24"/>
              </w:rPr>
              <w:t>uropaparlaments og Rådet forordning</w:t>
            </w:r>
            <w:r w:rsidR="00BF7179" w:rsidRPr="00BF7179">
              <w:rPr>
                <w:rFonts w:ascii="Times New Roman" w:hAnsi="Times New Roman"/>
                <w:sz w:val="24"/>
                <w:szCs w:val="24"/>
              </w:rPr>
              <w:t xml:space="preserve"> (EU) nr. 575/2013</w:t>
            </w:r>
            <w:r w:rsidR="00BF7179">
              <w:rPr>
                <w:rFonts w:ascii="Times New Roman" w:hAnsi="Times New Roman"/>
                <w:sz w:val="24"/>
                <w:szCs w:val="24"/>
              </w:rPr>
              <w:t xml:space="preserve"> </w:t>
            </w:r>
            <w:r w:rsidR="00BF7179" w:rsidRPr="00BF7179">
              <w:rPr>
                <w:rFonts w:ascii="Times New Roman" w:hAnsi="Times New Roman"/>
                <w:sz w:val="24"/>
                <w:szCs w:val="24"/>
              </w:rPr>
              <w:t>af 26. juni 2013</w:t>
            </w:r>
            <w:r w:rsidR="00BF7179">
              <w:rPr>
                <w:rFonts w:ascii="Times New Roman" w:hAnsi="Times New Roman"/>
                <w:sz w:val="24"/>
                <w:szCs w:val="24"/>
              </w:rPr>
              <w:t xml:space="preserve"> med efterfølgende ændringer i </w:t>
            </w:r>
            <w:r w:rsidR="00BF7179" w:rsidRPr="00BF7179">
              <w:rPr>
                <w:rFonts w:ascii="Times New Roman" w:hAnsi="Times New Roman"/>
                <w:sz w:val="24"/>
                <w:szCs w:val="24"/>
              </w:rPr>
              <w:t>E</w:t>
            </w:r>
            <w:r w:rsidR="00BF7179">
              <w:rPr>
                <w:rFonts w:ascii="Times New Roman" w:hAnsi="Times New Roman"/>
                <w:sz w:val="24"/>
                <w:szCs w:val="24"/>
              </w:rPr>
              <w:t xml:space="preserve">uropaparlaments og Rådet forordning </w:t>
            </w:r>
            <w:r w:rsidR="00BF7179" w:rsidRPr="00BF7179">
              <w:rPr>
                <w:rFonts w:ascii="Times New Roman" w:hAnsi="Times New Roman"/>
                <w:sz w:val="24"/>
                <w:szCs w:val="24"/>
              </w:rPr>
              <w:t>(EU) 2017/2395</w:t>
            </w:r>
            <w:r w:rsidR="00BF7179">
              <w:rPr>
                <w:rFonts w:ascii="Times New Roman" w:hAnsi="Times New Roman"/>
                <w:sz w:val="24"/>
                <w:szCs w:val="24"/>
              </w:rPr>
              <w:t xml:space="preserve"> </w:t>
            </w:r>
            <w:r w:rsidR="00BF7179" w:rsidRPr="00BF7179">
              <w:rPr>
                <w:rFonts w:ascii="Times New Roman" w:hAnsi="Times New Roman"/>
                <w:sz w:val="24"/>
                <w:szCs w:val="24"/>
              </w:rPr>
              <w:t>af 12. december 2017</w:t>
            </w:r>
            <w:r w:rsidR="00BF7179">
              <w:rPr>
                <w:rFonts w:ascii="Times New Roman" w:hAnsi="Times New Roman"/>
                <w:sz w:val="24"/>
                <w:szCs w:val="24"/>
              </w:rPr>
              <w:t xml:space="preserve">, forordning </w:t>
            </w:r>
            <w:r w:rsidR="00BF7179" w:rsidRPr="00BF7179">
              <w:rPr>
                <w:rFonts w:ascii="Times New Roman" w:hAnsi="Times New Roman"/>
                <w:sz w:val="24"/>
                <w:szCs w:val="24"/>
              </w:rPr>
              <w:t>(EU) 2019/630 af 17. april 2019</w:t>
            </w:r>
            <w:r w:rsidR="00BF7179">
              <w:rPr>
                <w:rFonts w:ascii="Times New Roman" w:hAnsi="Times New Roman"/>
                <w:sz w:val="24"/>
                <w:szCs w:val="24"/>
              </w:rPr>
              <w:t xml:space="preserve"> og forordning </w:t>
            </w:r>
            <w:r w:rsidR="00BF7179" w:rsidRPr="00BF7179">
              <w:rPr>
                <w:rFonts w:ascii="Times New Roman" w:hAnsi="Times New Roman"/>
                <w:sz w:val="24"/>
                <w:szCs w:val="24"/>
              </w:rPr>
              <w:t>(EU) 2019/876</w:t>
            </w:r>
            <w:r w:rsidR="00BF7179">
              <w:rPr>
                <w:rFonts w:ascii="Times New Roman" w:hAnsi="Times New Roman"/>
                <w:sz w:val="24"/>
                <w:szCs w:val="24"/>
              </w:rPr>
              <w:t xml:space="preserve"> af 20. maj 2019 (i det følgende under ét kaldet </w:t>
            </w:r>
            <w:r w:rsidRPr="00270255">
              <w:rPr>
                <w:rFonts w:ascii="Times New Roman" w:hAnsi="Times New Roman"/>
                <w:sz w:val="24"/>
                <w:szCs w:val="24"/>
              </w:rPr>
              <w:t>CRR</w:t>
            </w:r>
            <w:r w:rsidR="00BF7179">
              <w:rPr>
                <w:rFonts w:ascii="Times New Roman" w:hAnsi="Times New Roman"/>
                <w:sz w:val="24"/>
                <w:szCs w:val="24"/>
              </w:rPr>
              <w:t>)</w:t>
            </w:r>
            <w:r w:rsidRPr="00270255">
              <w:rPr>
                <w:rFonts w:ascii="Times New Roman" w:hAnsi="Times New Roman"/>
                <w:sz w:val="24"/>
                <w:szCs w:val="24"/>
              </w:rPr>
              <w:t xml:space="preserve">, artikel 26, stk. 1, består institutters egentlige kernekapitalposter af følgende: </w:t>
            </w:r>
          </w:p>
          <w:p w14:paraId="41BA4A3C" w14:textId="77777777" w:rsidR="002427D3" w:rsidRPr="00270255" w:rsidRDefault="002427D3" w:rsidP="002427D3">
            <w:pPr>
              <w:pStyle w:val="Brdtekst"/>
              <w:ind w:left="1304"/>
              <w:rPr>
                <w:rFonts w:ascii="Times New Roman" w:hAnsi="Times New Roman"/>
                <w:sz w:val="24"/>
                <w:szCs w:val="24"/>
              </w:rPr>
            </w:pPr>
            <w:r w:rsidRPr="00270255">
              <w:rPr>
                <w:rFonts w:ascii="Times New Roman" w:hAnsi="Times New Roman"/>
                <w:sz w:val="24"/>
                <w:szCs w:val="24"/>
              </w:rPr>
              <w:t>a) kapitalinstrumenter, såfremt betingelserne i artikel 28</w:t>
            </w:r>
            <w:r w:rsidR="00565150">
              <w:rPr>
                <w:rFonts w:ascii="Times New Roman" w:hAnsi="Times New Roman"/>
                <w:sz w:val="24"/>
                <w:szCs w:val="24"/>
              </w:rPr>
              <w:t>,</w:t>
            </w:r>
            <w:r w:rsidRPr="00270255">
              <w:rPr>
                <w:rFonts w:ascii="Times New Roman" w:hAnsi="Times New Roman"/>
                <w:sz w:val="24"/>
                <w:szCs w:val="24"/>
              </w:rPr>
              <w:t xml:space="preserve"> eller i givet fald artikel 29</w:t>
            </w:r>
            <w:r w:rsidR="00565150">
              <w:rPr>
                <w:rFonts w:ascii="Times New Roman" w:hAnsi="Times New Roman"/>
                <w:sz w:val="24"/>
                <w:szCs w:val="24"/>
              </w:rPr>
              <w:t>,</w:t>
            </w:r>
            <w:r w:rsidRPr="00270255">
              <w:rPr>
                <w:rFonts w:ascii="Times New Roman" w:hAnsi="Times New Roman"/>
                <w:sz w:val="24"/>
                <w:szCs w:val="24"/>
              </w:rPr>
              <w:t xml:space="preserve"> er opfyldt </w:t>
            </w:r>
          </w:p>
          <w:p w14:paraId="22BEC507" w14:textId="77777777" w:rsidR="002427D3" w:rsidRPr="00270255" w:rsidRDefault="002427D3" w:rsidP="002427D3">
            <w:pPr>
              <w:pStyle w:val="Brdtekst"/>
              <w:ind w:left="1304"/>
              <w:rPr>
                <w:rFonts w:ascii="Times New Roman" w:hAnsi="Times New Roman"/>
                <w:sz w:val="24"/>
                <w:szCs w:val="24"/>
              </w:rPr>
            </w:pPr>
            <w:r w:rsidRPr="00270255">
              <w:rPr>
                <w:rFonts w:ascii="Times New Roman" w:hAnsi="Times New Roman"/>
                <w:sz w:val="24"/>
                <w:szCs w:val="24"/>
              </w:rPr>
              <w:t xml:space="preserve">b) overkurs ved emission i forbindelse med de i litra a) nævnte instrumenter </w:t>
            </w:r>
          </w:p>
          <w:p w14:paraId="0B99603C" w14:textId="77777777" w:rsidR="002427D3" w:rsidRPr="00270255" w:rsidRDefault="002427D3" w:rsidP="002427D3">
            <w:pPr>
              <w:pStyle w:val="Brdtekst"/>
              <w:ind w:firstLine="1304"/>
              <w:rPr>
                <w:rFonts w:ascii="Times New Roman" w:hAnsi="Times New Roman"/>
                <w:sz w:val="24"/>
                <w:szCs w:val="24"/>
              </w:rPr>
            </w:pPr>
            <w:r w:rsidRPr="00270255">
              <w:rPr>
                <w:rFonts w:ascii="Times New Roman" w:hAnsi="Times New Roman"/>
                <w:sz w:val="24"/>
                <w:szCs w:val="24"/>
              </w:rPr>
              <w:t xml:space="preserve">c) overført resultat </w:t>
            </w:r>
          </w:p>
          <w:p w14:paraId="160D843D" w14:textId="77777777" w:rsidR="002427D3" w:rsidRPr="00270255" w:rsidRDefault="002427D3" w:rsidP="002427D3">
            <w:pPr>
              <w:pStyle w:val="Brdtekst"/>
              <w:ind w:firstLine="1304"/>
              <w:rPr>
                <w:rFonts w:ascii="Times New Roman" w:hAnsi="Times New Roman"/>
                <w:sz w:val="24"/>
                <w:szCs w:val="24"/>
              </w:rPr>
            </w:pPr>
            <w:r w:rsidRPr="00270255">
              <w:rPr>
                <w:rFonts w:ascii="Times New Roman" w:hAnsi="Times New Roman"/>
                <w:sz w:val="24"/>
                <w:szCs w:val="24"/>
              </w:rPr>
              <w:t xml:space="preserve">d) akkumuleret anden totalindkomst </w:t>
            </w:r>
          </w:p>
          <w:p w14:paraId="1F96D29B" w14:textId="77777777" w:rsidR="002427D3" w:rsidRPr="00270255" w:rsidRDefault="002427D3" w:rsidP="002427D3">
            <w:pPr>
              <w:pStyle w:val="Brdtekst"/>
              <w:ind w:firstLine="1304"/>
              <w:rPr>
                <w:rFonts w:ascii="Times New Roman" w:hAnsi="Times New Roman"/>
                <w:sz w:val="24"/>
                <w:szCs w:val="24"/>
              </w:rPr>
            </w:pPr>
            <w:r w:rsidRPr="00270255">
              <w:rPr>
                <w:rFonts w:ascii="Times New Roman" w:hAnsi="Times New Roman"/>
                <w:sz w:val="24"/>
                <w:szCs w:val="24"/>
              </w:rPr>
              <w:t xml:space="preserve">e) andre reserver </w:t>
            </w:r>
          </w:p>
          <w:p w14:paraId="781A51DB" w14:textId="77777777" w:rsidR="002427D3" w:rsidRPr="00270255" w:rsidRDefault="002427D3" w:rsidP="002427D3">
            <w:pPr>
              <w:pStyle w:val="Brdtekst"/>
              <w:ind w:firstLine="1304"/>
              <w:rPr>
                <w:rFonts w:ascii="Times New Roman" w:hAnsi="Times New Roman"/>
                <w:sz w:val="24"/>
                <w:szCs w:val="24"/>
              </w:rPr>
            </w:pPr>
            <w:r w:rsidRPr="00270255">
              <w:rPr>
                <w:rFonts w:ascii="Times New Roman" w:hAnsi="Times New Roman"/>
                <w:sz w:val="24"/>
                <w:szCs w:val="24"/>
              </w:rPr>
              <w:t xml:space="preserve">f) midler til dækning af generelle kreditinstitutrisici. </w:t>
            </w:r>
          </w:p>
          <w:p w14:paraId="24C33EB0" w14:textId="77777777" w:rsidR="002427D3" w:rsidRPr="00270255" w:rsidRDefault="002427D3" w:rsidP="002427D3">
            <w:pPr>
              <w:pStyle w:val="Brdtekst"/>
              <w:rPr>
                <w:rFonts w:ascii="Times New Roman" w:hAnsi="Times New Roman"/>
                <w:sz w:val="24"/>
                <w:szCs w:val="24"/>
              </w:rPr>
            </w:pPr>
          </w:p>
          <w:p w14:paraId="7148B0CA" w14:textId="77777777" w:rsidR="00553216" w:rsidRDefault="002427D3" w:rsidP="002427D3">
            <w:r w:rsidRPr="00270255">
              <w:t>De poster, der er omhandlet i litra c-f, anerkendes kun som egentlige kernekapitalposter, når de af instituttet kan anvendes straks og uden begrænsning til dækning af risici eller tab på det tidspunkt, hvor sådanne indtræder.</w:t>
            </w:r>
          </w:p>
          <w:p w14:paraId="0CB320D5" w14:textId="77777777" w:rsidR="00DB0A06" w:rsidRDefault="00DB0A06" w:rsidP="002427D3"/>
          <w:p w14:paraId="4EFF5123" w14:textId="77777777" w:rsidR="00DB0A06" w:rsidRPr="00270255" w:rsidRDefault="00DB0A06" w:rsidP="002427D3"/>
          <w:p w14:paraId="33D889AD" w14:textId="77777777" w:rsidR="00D116A2" w:rsidRDefault="00D116A2" w:rsidP="002427D3"/>
          <w:p w14:paraId="15268326" w14:textId="77777777" w:rsidR="000B1FD1" w:rsidRDefault="000B1FD1" w:rsidP="002427D3"/>
          <w:p w14:paraId="0181FF5B" w14:textId="77777777" w:rsidR="000B1FD1" w:rsidRDefault="000B1FD1" w:rsidP="002427D3"/>
          <w:p w14:paraId="732E0286" w14:textId="77777777" w:rsidR="000B1FD1" w:rsidRPr="00270255" w:rsidRDefault="000B1FD1" w:rsidP="002427D3"/>
        </w:tc>
      </w:tr>
      <w:tr w:rsidR="00553216" w:rsidRPr="00270255" w14:paraId="7FCF66E3" w14:textId="77777777" w:rsidTr="002427D3">
        <w:tc>
          <w:tcPr>
            <w:tcW w:w="3544" w:type="dxa"/>
            <w:tcBorders>
              <w:left w:val="single" w:sz="4" w:space="0" w:color="000000"/>
              <w:bottom w:val="single" w:sz="4" w:space="0" w:color="000000"/>
            </w:tcBorders>
          </w:tcPr>
          <w:p w14:paraId="41604CDC" w14:textId="77777777" w:rsidR="00553216" w:rsidRPr="00270255" w:rsidRDefault="00553216" w:rsidP="00B12AA5">
            <w:r w:rsidRPr="00270255">
              <w:rPr>
                <w:b/>
                <w:u w:val="single"/>
              </w:rPr>
              <w:t xml:space="preserve">Spørgsmål </w:t>
            </w:r>
            <w:r w:rsidR="00850527" w:rsidRPr="00270255">
              <w:rPr>
                <w:b/>
                <w:u w:val="single"/>
              </w:rPr>
              <w:t>1</w:t>
            </w:r>
            <w:r w:rsidRPr="00270255">
              <w:rPr>
                <w:b/>
                <w:u w:val="single"/>
              </w:rPr>
              <w:t>.1:</w:t>
            </w:r>
            <w:r w:rsidRPr="00270255">
              <w:t xml:space="preserve"> </w:t>
            </w:r>
          </w:p>
          <w:p w14:paraId="267167B2" w14:textId="77777777" w:rsidR="002427D3" w:rsidRPr="00270255" w:rsidRDefault="000B1FD1" w:rsidP="002427D3">
            <w:pPr>
              <w:pStyle w:val="Brdtekst"/>
              <w:rPr>
                <w:rFonts w:ascii="Times New Roman" w:hAnsi="Times New Roman"/>
                <w:sz w:val="24"/>
                <w:szCs w:val="24"/>
              </w:rPr>
            </w:pPr>
            <w:r>
              <w:rPr>
                <w:rFonts w:ascii="Times New Roman" w:hAnsi="Times New Roman"/>
                <w:sz w:val="24"/>
                <w:szCs w:val="24"/>
              </w:rPr>
              <w:t>Kan alle instituttets egentlige kernekapitalposter kategoriseres inden for de i artikel 26, stk. 1 nævnte typer af kapitalposter?</w:t>
            </w:r>
          </w:p>
          <w:p w14:paraId="67A3CDFC" w14:textId="77777777" w:rsidR="00553216" w:rsidRDefault="00553216" w:rsidP="00911F55">
            <w:pPr>
              <w:snapToGrid w:val="0"/>
            </w:pPr>
          </w:p>
          <w:p w14:paraId="122230D7" w14:textId="77777777" w:rsidR="000B1FD1" w:rsidRPr="00270255" w:rsidRDefault="000B1FD1" w:rsidP="00911F55">
            <w:pPr>
              <w:snapToGrid w:val="0"/>
            </w:pPr>
          </w:p>
        </w:tc>
        <w:tc>
          <w:tcPr>
            <w:tcW w:w="851" w:type="dxa"/>
            <w:tcBorders>
              <w:left w:val="single" w:sz="4" w:space="0" w:color="000000"/>
              <w:bottom w:val="single" w:sz="4" w:space="0" w:color="000000"/>
            </w:tcBorders>
          </w:tcPr>
          <w:p w14:paraId="44B857FC" w14:textId="77777777" w:rsidR="00553216" w:rsidRPr="00270255" w:rsidRDefault="00553216" w:rsidP="00B12AA5">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6F143B01" w14:textId="77777777" w:rsidR="00553216" w:rsidRPr="00270255" w:rsidRDefault="00553216" w:rsidP="00B12AA5"/>
        </w:tc>
        <w:tc>
          <w:tcPr>
            <w:tcW w:w="6946" w:type="dxa"/>
            <w:tcBorders>
              <w:left w:val="single" w:sz="4" w:space="0" w:color="000000"/>
              <w:bottom w:val="single" w:sz="4" w:space="0" w:color="000000"/>
            </w:tcBorders>
          </w:tcPr>
          <w:p w14:paraId="76289B1B" w14:textId="77777777" w:rsidR="00553216" w:rsidRPr="00270255" w:rsidRDefault="00553216" w:rsidP="00B12AA5">
            <w:pPr>
              <w:snapToGrid w:val="0"/>
            </w:pPr>
            <w:r w:rsidRPr="00270255">
              <w:t>Redegørelse</w:t>
            </w:r>
          </w:p>
          <w:p w14:paraId="0ED363DB" w14:textId="77777777" w:rsidR="00553216" w:rsidRPr="00270255" w:rsidRDefault="00553216" w:rsidP="00B12AA5">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EAA8493" w14:textId="77777777" w:rsidR="00553216" w:rsidRPr="00270255" w:rsidRDefault="00553216" w:rsidP="00B12AA5">
            <w:pPr>
              <w:snapToGrid w:val="0"/>
            </w:pPr>
          </w:p>
        </w:tc>
        <w:tc>
          <w:tcPr>
            <w:tcW w:w="2268" w:type="dxa"/>
            <w:tcBorders>
              <w:left w:val="single" w:sz="4" w:space="0" w:color="000000"/>
              <w:bottom w:val="single" w:sz="4" w:space="0" w:color="000000"/>
              <w:right w:val="single" w:sz="4" w:space="0" w:color="000000"/>
            </w:tcBorders>
          </w:tcPr>
          <w:p w14:paraId="4EACE833" w14:textId="77777777" w:rsidR="00553216" w:rsidRPr="00270255" w:rsidRDefault="00553216" w:rsidP="00B12AA5">
            <w:pPr>
              <w:snapToGrid w:val="0"/>
            </w:pPr>
            <w:r w:rsidRPr="00270255">
              <w:t>Forbeholdt Finanstilsynet</w:t>
            </w:r>
          </w:p>
          <w:p w14:paraId="5A54BC79" w14:textId="77777777" w:rsidR="00553216" w:rsidRPr="00270255" w:rsidRDefault="00553216" w:rsidP="00911F55">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2427D3" w:rsidRPr="00270255" w14:paraId="69F7913A" w14:textId="77777777" w:rsidTr="002427D3">
        <w:tc>
          <w:tcPr>
            <w:tcW w:w="3544" w:type="dxa"/>
            <w:tcBorders>
              <w:top w:val="single" w:sz="4" w:space="0" w:color="000000"/>
              <w:left w:val="single" w:sz="4" w:space="0" w:color="000000"/>
              <w:bottom w:val="single" w:sz="4" w:space="0" w:color="000000"/>
            </w:tcBorders>
          </w:tcPr>
          <w:p w14:paraId="52AB191C" w14:textId="77777777" w:rsidR="002427D3" w:rsidRPr="00270255" w:rsidRDefault="002427D3" w:rsidP="00A11CE3">
            <w:r w:rsidRPr="00270255">
              <w:rPr>
                <w:b/>
                <w:u w:val="single"/>
              </w:rPr>
              <w:t>Spørgsmål 1.2:</w:t>
            </w:r>
            <w:r w:rsidRPr="00270255">
              <w:t xml:space="preserve"> </w:t>
            </w:r>
          </w:p>
          <w:p w14:paraId="0AF48C46" w14:textId="5459194A" w:rsidR="000F1D6F" w:rsidRPr="00113BE6" w:rsidRDefault="002427D3" w:rsidP="00113BE6">
            <w:pPr>
              <w:pStyle w:val="Brdtekst"/>
              <w:rPr>
                <w:rFonts w:ascii="Times New Roman" w:hAnsi="Times New Roman"/>
                <w:sz w:val="24"/>
                <w:szCs w:val="24"/>
              </w:rPr>
            </w:pPr>
            <w:r w:rsidRPr="00270255">
              <w:rPr>
                <w:rFonts w:ascii="Times New Roman" w:hAnsi="Times New Roman"/>
                <w:sz w:val="24"/>
                <w:szCs w:val="24"/>
              </w:rPr>
              <w:t>Kan posterne i litra c-f anvendes straks og uden begrænsning til dækning af risici eller tab på det tidspunkt, hvor sådanne indtræder?</w:t>
            </w:r>
          </w:p>
        </w:tc>
        <w:tc>
          <w:tcPr>
            <w:tcW w:w="851" w:type="dxa"/>
            <w:tcBorders>
              <w:top w:val="single" w:sz="4" w:space="0" w:color="000000"/>
              <w:left w:val="single" w:sz="4" w:space="0" w:color="000000"/>
              <w:bottom w:val="single" w:sz="4" w:space="0" w:color="000000"/>
            </w:tcBorders>
          </w:tcPr>
          <w:p w14:paraId="62B6033D" w14:textId="77777777" w:rsidR="002427D3" w:rsidRPr="00270255" w:rsidRDefault="002427D3" w:rsidP="00A11CE3">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BA722A2" w14:textId="77777777" w:rsidR="002427D3" w:rsidRPr="00270255" w:rsidRDefault="002427D3" w:rsidP="00A11CE3"/>
        </w:tc>
        <w:tc>
          <w:tcPr>
            <w:tcW w:w="6946" w:type="dxa"/>
            <w:tcBorders>
              <w:top w:val="single" w:sz="4" w:space="0" w:color="000000"/>
              <w:left w:val="single" w:sz="4" w:space="0" w:color="000000"/>
              <w:bottom w:val="single" w:sz="4" w:space="0" w:color="000000"/>
            </w:tcBorders>
          </w:tcPr>
          <w:p w14:paraId="55E89B22" w14:textId="77777777" w:rsidR="002427D3" w:rsidRPr="00270255" w:rsidRDefault="002427D3" w:rsidP="00A11CE3">
            <w:pPr>
              <w:snapToGrid w:val="0"/>
            </w:pPr>
            <w:r w:rsidRPr="00270255">
              <w:t>Redegørelse</w:t>
            </w:r>
          </w:p>
          <w:p w14:paraId="579451F9" w14:textId="77777777" w:rsidR="002427D3" w:rsidRPr="00270255" w:rsidRDefault="002427D3" w:rsidP="00A11CE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7019A980" w14:textId="77777777" w:rsidR="002427D3" w:rsidRPr="00270255" w:rsidRDefault="002427D3" w:rsidP="00A11CE3">
            <w:pPr>
              <w:snapToGrid w:val="0"/>
            </w:pPr>
          </w:p>
        </w:tc>
        <w:tc>
          <w:tcPr>
            <w:tcW w:w="2268" w:type="dxa"/>
            <w:tcBorders>
              <w:top w:val="single" w:sz="4" w:space="0" w:color="000000"/>
              <w:left w:val="single" w:sz="4" w:space="0" w:color="000000"/>
              <w:bottom w:val="single" w:sz="4" w:space="0" w:color="000000"/>
              <w:right w:val="single" w:sz="4" w:space="0" w:color="000000"/>
            </w:tcBorders>
          </w:tcPr>
          <w:p w14:paraId="238890DB" w14:textId="77777777" w:rsidR="002427D3" w:rsidRPr="00270255" w:rsidRDefault="002427D3" w:rsidP="00A11CE3">
            <w:pPr>
              <w:snapToGrid w:val="0"/>
            </w:pPr>
            <w:r w:rsidRPr="00270255">
              <w:t>Forbeholdt Finanstilsynet</w:t>
            </w:r>
          </w:p>
          <w:p w14:paraId="4929F70D" w14:textId="77777777" w:rsidR="002427D3" w:rsidRPr="00270255" w:rsidRDefault="002427D3" w:rsidP="00A11CE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0F773A" w:rsidRPr="00270255" w14:paraId="6E79EC3F" w14:textId="77777777" w:rsidTr="009C4E7B">
        <w:tc>
          <w:tcPr>
            <w:tcW w:w="13609" w:type="dxa"/>
            <w:gridSpan w:val="4"/>
            <w:tcBorders>
              <w:top w:val="single" w:sz="4" w:space="0" w:color="000000"/>
              <w:left w:val="single" w:sz="4" w:space="0" w:color="000000"/>
              <w:bottom w:val="single" w:sz="4" w:space="0" w:color="000000"/>
              <w:right w:val="single" w:sz="4" w:space="0" w:color="000000"/>
            </w:tcBorders>
          </w:tcPr>
          <w:p w14:paraId="598B404D" w14:textId="77777777" w:rsidR="00DB0A06" w:rsidRDefault="00DB0A06" w:rsidP="000F773A">
            <w:pPr>
              <w:pStyle w:val="Brdtekst"/>
              <w:rPr>
                <w:rFonts w:ascii="Times New Roman" w:hAnsi="Times New Roman"/>
                <w:sz w:val="24"/>
                <w:szCs w:val="24"/>
              </w:rPr>
            </w:pPr>
          </w:p>
          <w:p w14:paraId="4E2EA8D5" w14:textId="77777777" w:rsidR="000F773A" w:rsidRPr="00270255" w:rsidRDefault="000F773A" w:rsidP="000F773A">
            <w:pPr>
              <w:pStyle w:val="Brdtekst"/>
              <w:rPr>
                <w:rFonts w:ascii="Times New Roman" w:hAnsi="Times New Roman"/>
                <w:sz w:val="24"/>
                <w:szCs w:val="24"/>
              </w:rPr>
            </w:pPr>
            <w:r w:rsidRPr="00270255">
              <w:rPr>
                <w:rFonts w:ascii="Times New Roman" w:hAnsi="Times New Roman"/>
                <w:sz w:val="24"/>
                <w:szCs w:val="24"/>
              </w:rPr>
              <w:t xml:space="preserve">Ifølge CRR, artikel 34, skal institutter ved beregning af kapitalgrundlaget anvende bestemmelserne i artikel 105 om forsigtig værdiansættelse og anvendelse af markedsværdi og modelværdi på alle deres aktiver opgjort til dagsværdi og trække eventuelle yderligere nødvendige værdijusteringer fra den egentlige kernekapital. </w:t>
            </w:r>
          </w:p>
          <w:p w14:paraId="6F0FCB91" w14:textId="77777777" w:rsidR="000F773A" w:rsidRDefault="000F773A" w:rsidP="00A11CE3">
            <w:pPr>
              <w:snapToGrid w:val="0"/>
            </w:pPr>
          </w:p>
          <w:p w14:paraId="4C0171DC" w14:textId="77777777" w:rsidR="00DB0A06" w:rsidRPr="00270255" w:rsidRDefault="00DB0A06" w:rsidP="00A11CE3">
            <w:pPr>
              <w:snapToGrid w:val="0"/>
            </w:pPr>
          </w:p>
        </w:tc>
      </w:tr>
      <w:tr w:rsidR="000F773A" w:rsidRPr="00270255" w14:paraId="70F9BFBE" w14:textId="77777777" w:rsidTr="002427D3">
        <w:tc>
          <w:tcPr>
            <w:tcW w:w="3544" w:type="dxa"/>
            <w:tcBorders>
              <w:top w:val="single" w:sz="4" w:space="0" w:color="000000"/>
              <w:left w:val="single" w:sz="4" w:space="0" w:color="000000"/>
              <w:bottom w:val="single" w:sz="4" w:space="0" w:color="000000"/>
            </w:tcBorders>
          </w:tcPr>
          <w:p w14:paraId="5669193B" w14:textId="77777777" w:rsidR="000F773A" w:rsidRPr="00270255" w:rsidRDefault="000F773A" w:rsidP="009C4E7B">
            <w:pPr>
              <w:rPr>
                <w:b/>
                <w:u w:val="single"/>
              </w:rPr>
            </w:pPr>
            <w:r w:rsidRPr="00270255">
              <w:rPr>
                <w:b/>
                <w:u w:val="single"/>
              </w:rPr>
              <w:t>Spørgsmål 1.3:</w:t>
            </w:r>
          </w:p>
          <w:p w14:paraId="18F9DF74" w14:textId="77777777" w:rsidR="000F773A" w:rsidRDefault="000F773A" w:rsidP="009C4E7B">
            <w:pPr>
              <w:rPr>
                <w:iCs/>
              </w:rPr>
            </w:pPr>
            <w:r w:rsidRPr="00270255">
              <w:rPr>
                <w:iCs/>
              </w:rPr>
              <w:t>Har instituttet ved beregning af kapitalgrundlaget anvendt artikel 105 på alle deres aktiver opgjort til dagsværdi og trukket eventuelle yderligere nødvendige værdijusteringer fra den egentlige kernekapital?</w:t>
            </w:r>
          </w:p>
          <w:p w14:paraId="44FE11A6" w14:textId="77777777" w:rsidR="000F773A" w:rsidRPr="00270255" w:rsidRDefault="000F773A" w:rsidP="009C4E7B"/>
        </w:tc>
        <w:tc>
          <w:tcPr>
            <w:tcW w:w="851" w:type="dxa"/>
            <w:tcBorders>
              <w:top w:val="single" w:sz="4" w:space="0" w:color="000000"/>
              <w:left w:val="single" w:sz="4" w:space="0" w:color="000000"/>
              <w:bottom w:val="single" w:sz="4" w:space="0" w:color="000000"/>
            </w:tcBorders>
          </w:tcPr>
          <w:p w14:paraId="61F7E319" w14:textId="77777777" w:rsidR="000F773A" w:rsidRPr="00270255" w:rsidRDefault="000F773A" w:rsidP="009C4E7B">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DD00F18" w14:textId="77777777" w:rsidR="000F773A" w:rsidRPr="00270255" w:rsidRDefault="000F773A" w:rsidP="009C4E7B"/>
        </w:tc>
        <w:tc>
          <w:tcPr>
            <w:tcW w:w="6946" w:type="dxa"/>
            <w:tcBorders>
              <w:top w:val="single" w:sz="4" w:space="0" w:color="000000"/>
              <w:left w:val="single" w:sz="4" w:space="0" w:color="000000"/>
              <w:bottom w:val="single" w:sz="4" w:space="0" w:color="000000"/>
            </w:tcBorders>
          </w:tcPr>
          <w:p w14:paraId="31E003D4" w14:textId="77777777" w:rsidR="000F773A" w:rsidRPr="00270255" w:rsidRDefault="000F773A" w:rsidP="009C4E7B">
            <w:pPr>
              <w:snapToGrid w:val="0"/>
            </w:pPr>
            <w:r w:rsidRPr="00270255">
              <w:t>Redegørelse</w:t>
            </w:r>
          </w:p>
          <w:p w14:paraId="79FFBC72" w14:textId="77777777" w:rsidR="000F773A" w:rsidRPr="00270255" w:rsidRDefault="000F773A"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2ED58D9" w14:textId="77777777" w:rsidR="000F773A" w:rsidRPr="00270255" w:rsidRDefault="000F773A" w:rsidP="009C4E7B">
            <w:pPr>
              <w:snapToGrid w:val="0"/>
            </w:pPr>
          </w:p>
        </w:tc>
        <w:tc>
          <w:tcPr>
            <w:tcW w:w="2268" w:type="dxa"/>
            <w:tcBorders>
              <w:top w:val="single" w:sz="4" w:space="0" w:color="000000"/>
              <w:left w:val="single" w:sz="4" w:space="0" w:color="000000"/>
              <w:bottom w:val="single" w:sz="4" w:space="0" w:color="000000"/>
              <w:right w:val="single" w:sz="4" w:space="0" w:color="000000"/>
            </w:tcBorders>
          </w:tcPr>
          <w:p w14:paraId="46766B5A" w14:textId="77777777" w:rsidR="000F773A" w:rsidRPr="00270255" w:rsidRDefault="000F773A" w:rsidP="009C4E7B">
            <w:pPr>
              <w:snapToGrid w:val="0"/>
            </w:pPr>
            <w:r w:rsidRPr="00270255">
              <w:t>Forbeholdt Finanstilsynet</w:t>
            </w:r>
          </w:p>
          <w:p w14:paraId="48013276" w14:textId="77777777" w:rsidR="000F773A" w:rsidRPr="00270255" w:rsidRDefault="000F773A"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0F773A" w:rsidRPr="00270255" w14:paraId="443E20FA" w14:textId="77777777" w:rsidTr="00A11CE3">
        <w:tc>
          <w:tcPr>
            <w:tcW w:w="13609" w:type="dxa"/>
            <w:gridSpan w:val="4"/>
            <w:tcBorders>
              <w:top w:val="single" w:sz="4" w:space="0" w:color="000000"/>
              <w:left w:val="single" w:sz="4" w:space="0" w:color="000000"/>
              <w:bottom w:val="single" w:sz="4" w:space="0" w:color="000000"/>
              <w:right w:val="single" w:sz="4" w:space="0" w:color="000000"/>
            </w:tcBorders>
          </w:tcPr>
          <w:p w14:paraId="383DC4ED" w14:textId="77777777" w:rsidR="00DB0A06" w:rsidRDefault="00DB0A06" w:rsidP="002427D3">
            <w:pPr>
              <w:pStyle w:val="Brdtekst"/>
              <w:rPr>
                <w:rFonts w:ascii="Times New Roman" w:hAnsi="Times New Roman"/>
                <w:sz w:val="24"/>
                <w:szCs w:val="24"/>
              </w:rPr>
            </w:pPr>
          </w:p>
          <w:p w14:paraId="34B876F7" w14:textId="77777777" w:rsidR="000F773A" w:rsidRPr="00270255" w:rsidRDefault="000F773A" w:rsidP="002427D3">
            <w:pPr>
              <w:pStyle w:val="Brdtekst"/>
              <w:rPr>
                <w:rFonts w:ascii="Times New Roman" w:hAnsi="Times New Roman"/>
                <w:sz w:val="24"/>
                <w:szCs w:val="24"/>
              </w:rPr>
            </w:pPr>
            <w:r w:rsidRPr="00270255">
              <w:rPr>
                <w:rFonts w:ascii="Times New Roman" w:hAnsi="Times New Roman"/>
                <w:sz w:val="24"/>
                <w:szCs w:val="24"/>
              </w:rPr>
              <w:t xml:space="preserve">Ifølge CRR, artikel 26, stk. 2, gælder det, at fsva. stk. 1, litra c), kan institutter kun med </w:t>
            </w:r>
            <w:r w:rsidR="007F7FD8">
              <w:rPr>
                <w:rFonts w:ascii="Times New Roman" w:hAnsi="Times New Roman"/>
                <w:sz w:val="24"/>
                <w:szCs w:val="24"/>
              </w:rPr>
              <w:t>Finan</w:t>
            </w:r>
            <w:r w:rsidRPr="00270255">
              <w:rPr>
                <w:rFonts w:ascii="Times New Roman" w:hAnsi="Times New Roman"/>
                <w:sz w:val="24"/>
                <w:szCs w:val="24"/>
              </w:rPr>
              <w:t>s</w:t>
            </w:r>
            <w:r w:rsidR="007F7FD8">
              <w:rPr>
                <w:rFonts w:ascii="Times New Roman" w:hAnsi="Times New Roman"/>
                <w:sz w:val="24"/>
                <w:szCs w:val="24"/>
              </w:rPr>
              <w:t>tilsynets</w:t>
            </w:r>
            <w:r w:rsidRPr="00270255">
              <w:rPr>
                <w:rFonts w:ascii="Times New Roman" w:hAnsi="Times New Roman"/>
                <w:sz w:val="24"/>
                <w:szCs w:val="24"/>
              </w:rPr>
              <w:t xml:space="preserve"> tilladelse medregne foreløbige overskud og overskud ved årets udgang i den egentlige kernekapital, før instituttet har truffet formel afgørelse om sit endelige overskud eller tab for året. </w:t>
            </w:r>
            <w:r w:rsidR="007F7FD8">
              <w:rPr>
                <w:rFonts w:ascii="Times New Roman" w:hAnsi="Times New Roman"/>
                <w:sz w:val="24"/>
                <w:szCs w:val="24"/>
              </w:rPr>
              <w:t>Finanstilsynet</w:t>
            </w:r>
            <w:r w:rsidRPr="00270255">
              <w:rPr>
                <w:rFonts w:ascii="Times New Roman" w:hAnsi="Times New Roman"/>
                <w:sz w:val="24"/>
                <w:szCs w:val="24"/>
              </w:rPr>
              <w:t xml:space="preserve"> giver tilladelse hertil, hvis følgende betingelser er opfyldt: </w:t>
            </w:r>
          </w:p>
          <w:p w14:paraId="23B8A46B" w14:textId="77777777" w:rsidR="000F773A" w:rsidRPr="00270255" w:rsidRDefault="000F773A" w:rsidP="002427D3">
            <w:pPr>
              <w:pStyle w:val="Brdtekst"/>
              <w:ind w:left="1304"/>
              <w:rPr>
                <w:rFonts w:ascii="Times New Roman" w:hAnsi="Times New Roman"/>
                <w:sz w:val="24"/>
                <w:szCs w:val="24"/>
              </w:rPr>
            </w:pPr>
            <w:r w:rsidRPr="00270255">
              <w:rPr>
                <w:rFonts w:ascii="Times New Roman" w:hAnsi="Times New Roman"/>
                <w:sz w:val="24"/>
                <w:szCs w:val="24"/>
              </w:rPr>
              <w:t xml:space="preserve">a) Overskuddet er blevet verificeret af uafhængige personer, som er ansvarlige for revisionen af instituttets regnskaber. </w:t>
            </w:r>
          </w:p>
          <w:p w14:paraId="7D8869AB" w14:textId="77777777" w:rsidR="000F773A" w:rsidRPr="00270255" w:rsidRDefault="000F773A" w:rsidP="002427D3">
            <w:pPr>
              <w:pStyle w:val="Brdtekst"/>
              <w:ind w:left="1304"/>
              <w:rPr>
                <w:rFonts w:ascii="Times New Roman" w:hAnsi="Times New Roman"/>
                <w:sz w:val="24"/>
                <w:szCs w:val="24"/>
              </w:rPr>
            </w:pPr>
            <w:r w:rsidRPr="00270255">
              <w:rPr>
                <w:rFonts w:ascii="Times New Roman" w:hAnsi="Times New Roman"/>
                <w:sz w:val="24"/>
                <w:szCs w:val="24"/>
              </w:rPr>
              <w:t xml:space="preserve">b) Instituttet har godtgjort over for </w:t>
            </w:r>
            <w:r w:rsidR="007F7FD8">
              <w:rPr>
                <w:rFonts w:ascii="Times New Roman" w:hAnsi="Times New Roman"/>
                <w:sz w:val="24"/>
                <w:szCs w:val="24"/>
              </w:rPr>
              <w:t>Finanstilsynet</w:t>
            </w:r>
            <w:r w:rsidRPr="00270255">
              <w:rPr>
                <w:rFonts w:ascii="Times New Roman" w:hAnsi="Times New Roman"/>
                <w:sz w:val="24"/>
                <w:szCs w:val="24"/>
              </w:rPr>
              <w:t xml:space="preserve">, at de forventede udgifter eller udbytter er blevet fratrukket overskuddet. </w:t>
            </w:r>
          </w:p>
          <w:p w14:paraId="754ACC4A" w14:textId="77777777" w:rsidR="000F773A" w:rsidRPr="00270255" w:rsidRDefault="000F773A" w:rsidP="002427D3">
            <w:pPr>
              <w:pStyle w:val="Brdtekst"/>
              <w:rPr>
                <w:rFonts w:ascii="Times New Roman" w:hAnsi="Times New Roman"/>
                <w:sz w:val="24"/>
                <w:szCs w:val="24"/>
              </w:rPr>
            </w:pPr>
          </w:p>
          <w:p w14:paraId="518C26CC" w14:textId="77777777" w:rsidR="000F773A" w:rsidRPr="00270255" w:rsidRDefault="000F773A" w:rsidP="002427D3">
            <w:pPr>
              <w:pStyle w:val="Brdtekst"/>
              <w:rPr>
                <w:rFonts w:ascii="Times New Roman" w:hAnsi="Times New Roman"/>
                <w:sz w:val="24"/>
                <w:szCs w:val="24"/>
              </w:rPr>
            </w:pPr>
            <w:r w:rsidRPr="00270255">
              <w:rPr>
                <w:rFonts w:ascii="Times New Roman" w:hAnsi="Times New Roman"/>
                <w:sz w:val="24"/>
                <w:szCs w:val="24"/>
              </w:rPr>
              <w:t>En verificering af det foreløbige overskud og overskuddet ved årets udgang skal tilvejebringe passende sikkerhed for, at disse overskud er blevet evalueret i overensstemmelse med principperne i de gældende regnskabsregler.</w:t>
            </w:r>
          </w:p>
          <w:p w14:paraId="08B939F4" w14:textId="77777777" w:rsidR="000F773A" w:rsidRPr="00270255" w:rsidRDefault="000F773A" w:rsidP="002427D3">
            <w:pPr>
              <w:pStyle w:val="Brdtekst"/>
              <w:rPr>
                <w:rFonts w:ascii="Times New Roman" w:hAnsi="Times New Roman"/>
                <w:sz w:val="24"/>
                <w:szCs w:val="24"/>
              </w:rPr>
            </w:pPr>
          </w:p>
          <w:p w14:paraId="44F0F0F3" w14:textId="77777777" w:rsidR="000F773A" w:rsidRPr="00270255" w:rsidRDefault="000F773A" w:rsidP="002427D3">
            <w:pPr>
              <w:pStyle w:val="Brdtekst"/>
              <w:rPr>
                <w:rFonts w:ascii="Times New Roman" w:hAnsi="Times New Roman"/>
                <w:sz w:val="24"/>
                <w:szCs w:val="24"/>
              </w:rPr>
            </w:pPr>
            <w:r w:rsidRPr="00270255">
              <w:rPr>
                <w:rFonts w:ascii="Times New Roman" w:hAnsi="Times New Roman"/>
                <w:sz w:val="24"/>
                <w:szCs w:val="24"/>
              </w:rPr>
              <w:t xml:space="preserve">Betydningen af ”forventet” i ovenstående litra b er specificeret i forordning (EU) nr. 241/2014 af 7. januar 2014 om kapitalgrundlagskrav, hvoraf bl.a. fremgår: </w:t>
            </w:r>
          </w:p>
          <w:p w14:paraId="6A5873AA" w14:textId="77777777" w:rsidR="000F773A" w:rsidRPr="00270255" w:rsidRDefault="000F773A" w:rsidP="002427D3">
            <w:pPr>
              <w:pStyle w:val="Brdtekst"/>
              <w:rPr>
                <w:rFonts w:ascii="Times New Roman" w:hAnsi="Times New Roman"/>
                <w:sz w:val="24"/>
                <w:szCs w:val="24"/>
              </w:rPr>
            </w:pPr>
            <w:r w:rsidRPr="00270255">
              <w:rPr>
                <w:rFonts w:ascii="Times New Roman" w:hAnsi="Times New Roman"/>
                <w:sz w:val="24"/>
                <w:szCs w:val="24"/>
              </w:rPr>
              <w:t xml:space="preserve">Hvis der ikke foreligger en godkendt udbyttepolitik, eller hvis </w:t>
            </w:r>
            <w:r w:rsidR="007F7FD8">
              <w:rPr>
                <w:rFonts w:ascii="Times New Roman" w:hAnsi="Times New Roman"/>
                <w:sz w:val="24"/>
                <w:szCs w:val="24"/>
              </w:rPr>
              <w:t>Finanstilsynet</w:t>
            </w:r>
            <w:r w:rsidRPr="00270255">
              <w:rPr>
                <w:rFonts w:ascii="Times New Roman" w:hAnsi="Times New Roman"/>
                <w:sz w:val="24"/>
                <w:szCs w:val="24"/>
              </w:rPr>
              <w:t xml:space="preserve"> finder det sandsynligt, at instituttet ikke vil anvende sin udbyttepolitik, eller at denne politik ikke sikrer et sundt grundlag for fastsættelsen af fradragsbeløbet, baseres udbetalingsprocenten for udbytte på det højeste beløb af følgende:</w:t>
            </w:r>
          </w:p>
          <w:p w14:paraId="5E5A3558" w14:textId="77777777" w:rsidR="000F773A" w:rsidRPr="00270255" w:rsidRDefault="000F773A" w:rsidP="002427D3">
            <w:pPr>
              <w:pStyle w:val="Brdtekst"/>
              <w:ind w:left="1304"/>
              <w:rPr>
                <w:rFonts w:ascii="Times New Roman" w:hAnsi="Times New Roman"/>
                <w:sz w:val="24"/>
                <w:szCs w:val="24"/>
              </w:rPr>
            </w:pPr>
            <w:r w:rsidRPr="00270255">
              <w:rPr>
                <w:rFonts w:ascii="Times New Roman" w:hAnsi="Times New Roman"/>
                <w:sz w:val="24"/>
                <w:szCs w:val="24"/>
              </w:rPr>
              <w:t>a) den gennemsnitlige udbetalingsprocent for udbytte for de tre år inden regnskabsåret</w:t>
            </w:r>
          </w:p>
          <w:p w14:paraId="45BD6316" w14:textId="77777777" w:rsidR="000F773A" w:rsidRPr="00270255" w:rsidRDefault="000F773A" w:rsidP="002427D3">
            <w:pPr>
              <w:pStyle w:val="Brdtekst"/>
              <w:ind w:left="1304"/>
              <w:rPr>
                <w:rFonts w:ascii="Times New Roman" w:hAnsi="Times New Roman"/>
                <w:sz w:val="24"/>
                <w:szCs w:val="24"/>
              </w:rPr>
            </w:pPr>
            <w:r w:rsidRPr="00270255">
              <w:rPr>
                <w:rFonts w:ascii="Times New Roman" w:hAnsi="Times New Roman"/>
                <w:sz w:val="24"/>
                <w:szCs w:val="24"/>
              </w:rPr>
              <w:t>b) udbetalingsprocenten for udbytte for året inden regnskabsåret.</w:t>
            </w:r>
          </w:p>
          <w:p w14:paraId="0D8F0EF9" w14:textId="77777777" w:rsidR="000F773A" w:rsidRPr="00270255" w:rsidRDefault="000F773A" w:rsidP="00A11CE3">
            <w:pPr>
              <w:snapToGrid w:val="0"/>
            </w:pPr>
          </w:p>
        </w:tc>
      </w:tr>
      <w:tr w:rsidR="000F773A" w:rsidRPr="00270255" w14:paraId="6D607BDE" w14:textId="77777777" w:rsidTr="002427D3">
        <w:tc>
          <w:tcPr>
            <w:tcW w:w="3544" w:type="dxa"/>
            <w:tcBorders>
              <w:top w:val="single" w:sz="4" w:space="0" w:color="000000"/>
              <w:left w:val="single" w:sz="4" w:space="0" w:color="000000"/>
              <w:bottom w:val="single" w:sz="4" w:space="0" w:color="000000"/>
            </w:tcBorders>
          </w:tcPr>
          <w:p w14:paraId="1E83EB57" w14:textId="77777777" w:rsidR="000F773A" w:rsidRPr="00270255" w:rsidRDefault="000F773A" w:rsidP="00A11CE3">
            <w:r w:rsidRPr="00270255">
              <w:rPr>
                <w:b/>
                <w:u w:val="single"/>
              </w:rPr>
              <w:lastRenderedPageBreak/>
              <w:t>Spørgsmål 1.</w:t>
            </w:r>
            <w:r w:rsidR="000B1FD1">
              <w:rPr>
                <w:b/>
                <w:u w:val="single"/>
              </w:rPr>
              <w:t>4</w:t>
            </w:r>
            <w:r w:rsidRPr="00270255">
              <w:rPr>
                <w:b/>
                <w:u w:val="single"/>
              </w:rPr>
              <w:t>:</w:t>
            </w:r>
            <w:r w:rsidRPr="00270255">
              <w:t xml:space="preserve"> </w:t>
            </w:r>
          </w:p>
          <w:p w14:paraId="45E83E40" w14:textId="77777777" w:rsidR="000F773A" w:rsidRPr="00270255" w:rsidRDefault="000F773A" w:rsidP="002427D3">
            <w:pPr>
              <w:snapToGrid w:val="0"/>
            </w:pPr>
            <w:r w:rsidRPr="00270255">
              <w:t>Er overskud</w:t>
            </w:r>
            <w:r w:rsidR="000B1FD1">
              <w:t xml:space="preserve">, der medregnes i </w:t>
            </w:r>
            <w:r w:rsidRPr="00270255">
              <w:t>de</w:t>
            </w:r>
            <w:r w:rsidR="000B1FD1">
              <w:t xml:space="preserve">n egentlige kernekapital, </w:t>
            </w:r>
            <w:r w:rsidRPr="00270255">
              <w:t>verificeret af uafhængige personer, som er ansvarlige for revisionen af instituttets regnskaber?</w:t>
            </w:r>
          </w:p>
          <w:p w14:paraId="79A8E853" w14:textId="77777777" w:rsidR="000F773A" w:rsidRPr="00270255" w:rsidRDefault="000F773A" w:rsidP="002427D3">
            <w:pPr>
              <w:snapToGrid w:val="0"/>
            </w:pPr>
          </w:p>
        </w:tc>
        <w:tc>
          <w:tcPr>
            <w:tcW w:w="851" w:type="dxa"/>
            <w:tcBorders>
              <w:top w:val="single" w:sz="4" w:space="0" w:color="000000"/>
              <w:left w:val="single" w:sz="4" w:space="0" w:color="000000"/>
              <w:bottom w:val="single" w:sz="4" w:space="0" w:color="000000"/>
            </w:tcBorders>
          </w:tcPr>
          <w:p w14:paraId="5FE5B881" w14:textId="77777777" w:rsidR="000F773A" w:rsidRPr="00270255" w:rsidRDefault="000F773A" w:rsidP="00A11CE3">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0AE40C8D" w14:textId="77777777" w:rsidR="000F773A" w:rsidRPr="00270255" w:rsidRDefault="000F773A" w:rsidP="00A11CE3"/>
        </w:tc>
        <w:tc>
          <w:tcPr>
            <w:tcW w:w="6946" w:type="dxa"/>
            <w:tcBorders>
              <w:top w:val="single" w:sz="4" w:space="0" w:color="000000"/>
              <w:left w:val="single" w:sz="4" w:space="0" w:color="000000"/>
              <w:bottom w:val="single" w:sz="4" w:space="0" w:color="000000"/>
            </w:tcBorders>
          </w:tcPr>
          <w:p w14:paraId="69C22EF9" w14:textId="77777777" w:rsidR="0049685A" w:rsidRPr="00270255" w:rsidRDefault="0049685A" w:rsidP="0049685A">
            <w:pPr>
              <w:snapToGrid w:val="0"/>
            </w:pPr>
            <w:r w:rsidRPr="00270255">
              <w:t>Redegørelse</w:t>
            </w:r>
          </w:p>
          <w:p w14:paraId="5990F7AC" w14:textId="77777777" w:rsidR="0049685A" w:rsidRPr="00270255" w:rsidRDefault="0049685A" w:rsidP="0049685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97A6CEF" w14:textId="77777777" w:rsidR="000F773A" w:rsidRPr="00270255" w:rsidRDefault="000F773A" w:rsidP="00C76AF4"/>
        </w:tc>
        <w:tc>
          <w:tcPr>
            <w:tcW w:w="2268" w:type="dxa"/>
            <w:tcBorders>
              <w:top w:val="single" w:sz="4" w:space="0" w:color="000000"/>
              <w:left w:val="single" w:sz="4" w:space="0" w:color="000000"/>
              <w:bottom w:val="single" w:sz="4" w:space="0" w:color="000000"/>
              <w:right w:val="single" w:sz="4" w:space="0" w:color="000000"/>
            </w:tcBorders>
          </w:tcPr>
          <w:p w14:paraId="58B1D26E" w14:textId="77777777" w:rsidR="000F773A" w:rsidRPr="00270255" w:rsidRDefault="000F773A" w:rsidP="00A11CE3">
            <w:pPr>
              <w:snapToGrid w:val="0"/>
            </w:pPr>
            <w:r w:rsidRPr="00270255">
              <w:t>Forbeholdt Finanstilsynet</w:t>
            </w:r>
          </w:p>
          <w:p w14:paraId="38E2BC59" w14:textId="77777777" w:rsidR="000F773A" w:rsidRPr="00270255" w:rsidRDefault="000F773A" w:rsidP="00A11CE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C6976" w:rsidRPr="00270255" w14:paraId="2CA7C4F7" w14:textId="77777777" w:rsidTr="002427D3">
        <w:tc>
          <w:tcPr>
            <w:tcW w:w="3544" w:type="dxa"/>
            <w:tcBorders>
              <w:top w:val="single" w:sz="4" w:space="0" w:color="000000"/>
              <w:left w:val="single" w:sz="4" w:space="0" w:color="000000"/>
              <w:bottom w:val="single" w:sz="4" w:space="0" w:color="000000"/>
            </w:tcBorders>
          </w:tcPr>
          <w:p w14:paraId="297CF62D" w14:textId="77777777" w:rsidR="005C6976" w:rsidRPr="00270255" w:rsidRDefault="005C6976" w:rsidP="005C6976">
            <w:r w:rsidRPr="00270255">
              <w:rPr>
                <w:b/>
                <w:u w:val="single"/>
              </w:rPr>
              <w:t>Spørgsmål 1.</w:t>
            </w:r>
            <w:r>
              <w:rPr>
                <w:b/>
                <w:u w:val="single"/>
              </w:rPr>
              <w:t>5</w:t>
            </w:r>
            <w:r w:rsidRPr="00270255">
              <w:rPr>
                <w:b/>
                <w:u w:val="single"/>
              </w:rPr>
              <w:t>:</w:t>
            </w:r>
            <w:r w:rsidRPr="00270255">
              <w:t xml:space="preserve"> </w:t>
            </w:r>
          </w:p>
          <w:p w14:paraId="39FCE002" w14:textId="77777777" w:rsidR="005C6976" w:rsidRPr="00270255" w:rsidRDefault="005C6976" w:rsidP="005C6976">
            <w:pPr>
              <w:snapToGrid w:val="0"/>
            </w:pPr>
            <w:r w:rsidRPr="00270255">
              <w:t>Har instituttet en godkendt udbyttepolitik?</w:t>
            </w:r>
          </w:p>
          <w:p w14:paraId="352A8764" w14:textId="77777777" w:rsidR="005C6976" w:rsidRPr="00270255" w:rsidRDefault="005C6976" w:rsidP="005C6976">
            <w:pPr>
              <w:snapToGrid w:val="0"/>
            </w:pPr>
          </w:p>
        </w:tc>
        <w:tc>
          <w:tcPr>
            <w:tcW w:w="851" w:type="dxa"/>
            <w:tcBorders>
              <w:top w:val="single" w:sz="4" w:space="0" w:color="000000"/>
              <w:left w:val="single" w:sz="4" w:space="0" w:color="000000"/>
              <w:bottom w:val="single" w:sz="4" w:space="0" w:color="000000"/>
            </w:tcBorders>
          </w:tcPr>
          <w:p w14:paraId="3B98D8ED" w14:textId="77777777" w:rsidR="005C6976" w:rsidRPr="00270255" w:rsidRDefault="005C6976" w:rsidP="005C6976">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1C6CE84" w14:textId="77777777" w:rsidR="005C6976" w:rsidRPr="00270255" w:rsidRDefault="005C6976" w:rsidP="005C6976"/>
        </w:tc>
        <w:tc>
          <w:tcPr>
            <w:tcW w:w="6946" w:type="dxa"/>
            <w:tcBorders>
              <w:top w:val="single" w:sz="4" w:space="0" w:color="000000"/>
              <w:left w:val="single" w:sz="4" w:space="0" w:color="000000"/>
              <w:bottom w:val="single" w:sz="4" w:space="0" w:color="000000"/>
            </w:tcBorders>
          </w:tcPr>
          <w:p w14:paraId="72ED96A9" w14:textId="77777777" w:rsidR="005C6976" w:rsidRPr="00270255" w:rsidRDefault="005C6976" w:rsidP="005C6976">
            <w:pPr>
              <w:snapToGrid w:val="0"/>
            </w:pPr>
            <w:r w:rsidRPr="00270255">
              <w:t>Redegørelse</w:t>
            </w:r>
          </w:p>
          <w:p w14:paraId="1FB9C337" w14:textId="77777777" w:rsidR="005C6976" w:rsidRPr="00270255" w:rsidRDefault="005C6976" w:rsidP="005C6976">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3482C529" w14:textId="77777777" w:rsidR="005C6976" w:rsidRPr="00270255" w:rsidRDefault="005C6976" w:rsidP="005C6976"/>
        </w:tc>
        <w:tc>
          <w:tcPr>
            <w:tcW w:w="2268" w:type="dxa"/>
            <w:tcBorders>
              <w:top w:val="single" w:sz="4" w:space="0" w:color="000000"/>
              <w:left w:val="single" w:sz="4" w:space="0" w:color="000000"/>
              <w:bottom w:val="single" w:sz="4" w:space="0" w:color="000000"/>
              <w:right w:val="single" w:sz="4" w:space="0" w:color="000000"/>
            </w:tcBorders>
          </w:tcPr>
          <w:p w14:paraId="17D287DE" w14:textId="77777777" w:rsidR="005C6976" w:rsidRPr="00270255" w:rsidRDefault="005C6976" w:rsidP="005C6976">
            <w:pPr>
              <w:snapToGrid w:val="0"/>
            </w:pPr>
            <w:r w:rsidRPr="00270255">
              <w:t>Forbeholdt Finanstilsynet</w:t>
            </w:r>
          </w:p>
          <w:p w14:paraId="02B31E8D" w14:textId="77777777" w:rsidR="005C6976" w:rsidRPr="00270255" w:rsidRDefault="005C6976" w:rsidP="005C6976">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3B3C04FC" w14:textId="77777777" w:rsidR="000B3DFE" w:rsidRDefault="000B3DFE">
      <w:r>
        <w:br w:type="page"/>
      </w:r>
    </w:p>
    <w:p w14:paraId="08980C72" w14:textId="77777777" w:rsidR="000B3DFE" w:rsidRDefault="000B3DFE" w:rsidP="00083E63"/>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2E6B92" w:rsidRPr="00270255" w14:paraId="6DA73D26" w14:textId="77777777" w:rsidTr="00A11CE3">
        <w:tc>
          <w:tcPr>
            <w:tcW w:w="13609" w:type="dxa"/>
            <w:gridSpan w:val="4"/>
          </w:tcPr>
          <w:p w14:paraId="4C221D2C" w14:textId="77777777" w:rsidR="002E6B92" w:rsidRPr="00270255" w:rsidRDefault="002E6B92" w:rsidP="00A470FB">
            <w:pPr>
              <w:pStyle w:val="Overskrift1"/>
              <w:numPr>
                <w:ilvl w:val="0"/>
                <w:numId w:val="2"/>
              </w:numPr>
              <w:rPr>
                <w:rFonts w:cs="Times New Roman"/>
                <w:szCs w:val="24"/>
              </w:rPr>
            </w:pPr>
            <w:r w:rsidRPr="00270255">
              <w:rPr>
                <w:rFonts w:cs="Times New Roman"/>
                <w:szCs w:val="24"/>
              </w:rPr>
              <w:t>Egentlig kernekapitalinstrumenter</w:t>
            </w:r>
          </w:p>
          <w:p w14:paraId="53C5FDD2" w14:textId="77777777" w:rsidR="00D116A2" w:rsidRPr="00270255" w:rsidRDefault="00D116A2" w:rsidP="00D116A2"/>
        </w:tc>
      </w:tr>
      <w:tr w:rsidR="000B3DFE" w:rsidRPr="00270255" w14:paraId="2CAA5C7F" w14:textId="77777777" w:rsidTr="00A11CE3">
        <w:tc>
          <w:tcPr>
            <w:tcW w:w="13609" w:type="dxa"/>
            <w:gridSpan w:val="4"/>
          </w:tcPr>
          <w:p w14:paraId="03FFA988" w14:textId="77777777" w:rsidR="000B3DFE" w:rsidRPr="00270255" w:rsidRDefault="000B3DFE" w:rsidP="00A11CE3">
            <w:pPr>
              <w:pStyle w:val="Brdtekst"/>
              <w:rPr>
                <w:rFonts w:ascii="Times New Roman" w:hAnsi="Times New Roman"/>
                <w:sz w:val="24"/>
                <w:szCs w:val="24"/>
              </w:rPr>
            </w:pPr>
            <w:r w:rsidRPr="00270255">
              <w:rPr>
                <w:rFonts w:ascii="Times New Roman" w:hAnsi="Times New Roman"/>
                <w:sz w:val="24"/>
                <w:szCs w:val="24"/>
              </w:rPr>
              <w:t>Ifølge CRR, artikel 28, stk. 1, kvalificeres kapitalinstrumenter kun som egentlige kernekapitalinstrumenter, såfremt en række betingelser er opfyldt</w:t>
            </w:r>
            <w:r w:rsidR="00A81CA0" w:rsidRPr="00270255">
              <w:rPr>
                <w:rFonts w:ascii="Times New Roman" w:hAnsi="Times New Roman"/>
                <w:sz w:val="24"/>
                <w:szCs w:val="24"/>
              </w:rPr>
              <w:t>.</w:t>
            </w:r>
          </w:p>
          <w:p w14:paraId="02177311" w14:textId="77777777" w:rsidR="00CE3F43" w:rsidRPr="00270255" w:rsidRDefault="00CE3F43" w:rsidP="00A11CE3">
            <w:pPr>
              <w:pStyle w:val="Brdtekst"/>
              <w:rPr>
                <w:rFonts w:ascii="Times New Roman" w:hAnsi="Times New Roman"/>
                <w:sz w:val="24"/>
                <w:szCs w:val="24"/>
              </w:rPr>
            </w:pPr>
          </w:p>
          <w:p w14:paraId="58A6108A" w14:textId="77777777" w:rsidR="00CC2AED"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Instrumenterne er udstedt af instituttet med forudgående godkendelse af instituttets ejere, eller hvis den nationale lovgivning giver mulighed for det, af instituttets ledelsesorgan. </w:t>
            </w:r>
          </w:p>
          <w:p w14:paraId="75D57545" w14:textId="5565237C" w:rsidR="00CC2AED"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Instrumenterne er </w:t>
            </w:r>
            <w:r w:rsidR="00B73EEE">
              <w:rPr>
                <w:rFonts w:ascii="Times New Roman" w:hAnsi="Times New Roman"/>
                <w:sz w:val="24"/>
                <w:szCs w:val="24"/>
              </w:rPr>
              <w:t>fuldt ind</w:t>
            </w:r>
            <w:r w:rsidRPr="00270255">
              <w:rPr>
                <w:rFonts w:ascii="Times New Roman" w:hAnsi="Times New Roman"/>
                <w:sz w:val="24"/>
                <w:szCs w:val="24"/>
              </w:rPr>
              <w:t xml:space="preserve">betalt, og </w:t>
            </w:r>
            <w:r w:rsidR="00B73EEE">
              <w:rPr>
                <w:rFonts w:ascii="Times New Roman" w:hAnsi="Times New Roman"/>
                <w:sz w:val="24"/>
                <w:szCs w:val="24"/>
              </w:rPr>
              <w:t xml:space="preserve">erhvervelsen af ejendomsretten til disse instrumenter </w:t>
            </w:r>
            <w:r w:rsidRPr="00270255">
              <w:rPr>
                <w:rFonts w:ascii="Times New Roman" w:hAnsi="Times New Roman"/>
                <w:sz w:val="24"/>
                <w:szCs w:val="24"/>
              </w:rPr>
              <w:t>er ikke direkte eller indirekte finansieret af instituttet.</w:t>
            </w:r>
          </w:p>
          <w:p w14:paraId="1900C191" w14:textId="77777777" w:rsidR="00CC2AED"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Instrumenterne opfylder samtlige følgende betingelser vedrørende deres klassificering: </w:t>
            </w:r>
          </w:p>
          <w:p w14:paraId="4D0EA7EC" w14:textId="77777777" w:rsidR="00CC2AED" w:rsidRPr="00270255" w:rsidRDefault="00A3299B" w:rsidP="00CC2AED">
            <w:pPr>
              <w:pStyle w:val="Brdtekst"/>
              <w:ind w:left="1310"/>
              <w:rPr>
                <w:rFonts w:ascii="Times New Roman" w:hAnsi="Times New Roman"/>
                <w:sz w:val="24"/>
                <w:szCs w:val="24"/>
              </w:rPr>
            </w:pPr>
            <w:r w:rsidRPr="00270255">
              <w:rPr>
                <w:rFonts w:ascii="Times New Roman" w:hAnsi="Times New Roman"/>
                <w:sz w:val="24"/>
                <w:szCs w:val="24"/>
              </w:rPr>
              <w:t>i) De kvalificeres som kapital i henhold til ar</w:t>
            </w:r>
            <w:r w:rsidR="00CC2AED" w:rsidRPr="00270255">
              <w:rPr>
                <w:rFonts w:ascii="Times New Roman" w:hAnsi="Times New Roman"/>
                <w:sz w:val="24"/>
                <w:szCs w:val="24"/>
              </w:rPr>
              <w:t>tikel 22 i direktiv 86/635/EØF</w:t>
            </w:r>
          </w:p>
          <w:p w14:paraId="464CF72E" w14:textId="77777777" w:rsidR="00CC2AED" w:rsidRPr="00270255" w:rsidRDefault="00A3299B" w:rsidP="00CC2AED">
            <w:pPr>
              <w:pStyle w:val="Brdtekst"/>
              <w:ind w:left="1310"/>
              <w:rPr>
                <w:rFonts w:ascii="Times New Roman" w:hAnsi="Times New Roman"/>
                <w:sz w:val="24"/>
                <w:szCs w:val="24"/>
              </w:rPr>
            </w:pPr>
            <w:r w:rsidRPr="00270255">
              <w:rPr>
                <w:rFonts w:ascii="Times New Roman" w:hAnsi="Times New Roman"/>
                <w:sz w:val="24"/>
                <w:szCs w:val="24"/>
              </w:rPr>
              <w:t xml:space="preserve">ii) De er klassificeret som egenkapital i de gældende regnskabsregler. </w:t>
            </w:r>
          </w:p>
          <w:p w14:paraId="11B36F83" w14:textId="77777777" w:rsidR="00CC2AED" w:rsidRPr="00270255" w:rsidRDefault="00A3299B" w:rsidP="00CC2AED">
            <w:pPr>
              <w:pStyle w:val="Brdtekst"/>
              <w:ind w:left="1310"/>
              <w:rPr>
                <w:rFonts w:ascii="Times New Roman" w:hAnsi="Times New Roman"/>
                <w:sz w:val="24"/>
                <w:szCs w:val="24"/>
              </w:rPr>
            </w:pPr>
            <w:r w:rsidRPr="00270255">
              <w:rPr>
                <w:rFonts w:ascii="Times New Roman" w:hAnsi="Times New Roman"/>
                <w:sz w:val="24"/>
                <w:szCs w:val="24"/>
              </w:rPr>
              <w:t xml:space="preserve">iii) De er klassificeret som aktiekapital for at fastslå, om der foreligger insolvens i henhold til balancen, når dette er relevant i henhold til national lovgivning om insolvens. </w:t>
            </w:r>
          </w:p>
          <w:p w14:paraId="2BC9B93A" w14:textId="77777777" w:rsidR="00CC2AED"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Instrumenterne er opført tydeligt og særskilt på balancen i regnskaberne for instituttet. </w:t>
            </w:r>
          </w:p>
          <w:p w14:paraId="74D3A83B" w14:textId="77777777" w:rsidR="00CC2AED"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Instrumenterne er uamortisable.</w:t>
            </w:r>
          </w:p>
          <w:p w14:paraId="76E9C82E" w14:textId="77777777" w:rsidR="00A3299B" w:rsidRPr="00270255" w:rsidRDefault="005122E5"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i</w:t>
            </w:r>
            <w:r w:rsidR="00A3299B" w:rsidRPr="00270255">
              <w:rPr>
                <w:rFonts w:ascii="Times New Roman" w:hAnsi="Times New Roman"/>
                <w:sz w:val="24"/>
                <w:szCs w:val="24"/>
              </w:rPr>
              <w:t xml:space="preserve">nstrumenternes hovedstol reduceres eller indfries ikke, undtagen i et af følgende tilfælde: </w:t>
            </w:r>
          </w:p>
          <w:p w14:paraId="01B18A85" w14:textId="77777777" w:rsidR="00A3299B" w:rsidRPr="00270255" w:rsidRDefault="00A3299B" w:rsidP="00A3299B">
            <w:pPr>
              <w:pStyle w:val="Brdtekst"/>
              <w:ind w:firstLine="1304"/>
              <w:rPr>
                <w:rFonts w:ascii="Times New Roman" w:hAnsi="Times New Roman"/>
                <w:sz w:val="24"/>
                <w:szCs w:val="24"/>
              </w:rPr>
            </w:pPr>
            <w:r w:rsidRPr="00270255">
              <w:rPr>
                <w:rFonts w:ascii="Times New Roman" w:hAnsi="Times New Roman"/>
                <w:sz w:val="24"/>
                <w:szCs w:val="24"/>
              </w:rPr>
              <w:t xml:space="preserve">i) instituttets likvidation </w:t>
            </w:r>
          </w:p>
          <w:p w14:paraId="131BC2E5"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ii) diskretionære genkøb af instrumenterne eller anden diskretionær måde til reducering af kapitalen, hvis instituttet har modtaget de kompetente myndigheders forudgående tilladelse i overensstemmelse med artikel 77. </w:t>
            </w:r>
          </w:p>
          <w:p w14:paraId="2B1095F9" w14:textId="77777777" w:rsidR="00CC2AED"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 de bestemmelser, som regulerer instrumenterne, er det hverken eksplicit eller implicit angivet, at instrumenternes hovedstol vil eller kan blive reduceret eller indfriet, undtagen ved instituttets likvidation, og instituttet anfører ikke på anden måde en sådan angivelse forud for eller ved udstedelsen af instrumenterne, undtagen i forbindelse med de i artikel 27 omhandlede instrumenter, hvor det i henhold til gældende national lovgivning er forbudt at nægte indfrielse af sådanne instrumenter. </w:t>
            </w:r>
          </w:p>
          <w:p w14:paraId="36564694" w14:textId="77777777" w:rsidR="00A3299B"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Instrumenterne opfylder alle følgende betingelser vedrørende udlodninger: </w:t>
            </w:r>
          </w:p>
          <w:p w14:paraId="26DE5C6E"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i) Der er ingen fortrinsbehandling med hensyn til rækkefølgen for udbetaling af udlodninger, heller ikke i forbindelse med egentlige kernekapitalinstrumenter, og de bestemmelser, som regulerer instrumenterne, giver ikke fortrinsret til udlodninger. </w:t>
            </w:r>
          </w:p>
          <w:p w14:paraId="3B8CB86F"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ii) Udlodninger til indehavere af instrumenter kan kun udbetales af de elementer, som kan udloddes. </w:t>
            </w:r>
          </w:p>
          <w:p w14:paraId="208C5750"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iii) De bestemmelser, som regulerer instrumenterne, fastsætter ikke noget loft eller andre restriktioner for udlodningernes maksimale størrelse, undtagen for de i artikel 27 omhandlede instrumenter. </w:t>
            </w:r>
          </w:p>
          <w:p w14:paraId="42FE5B80"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iv) Udlodningernes størrelse fastlægges ikke på grundlag af det beløb, som instrumenterne blev købt til ved udstedelsen, undtagen for de i artikel 27 omhandlede instrumenter. </w:t>
            </w:r>
          </w:p>
          <w:p w14:paraId="33090342"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lastRenderedPageBreak/>
              <w:t xml:space="preserve">v) De bestemmelser, som regulerer instrumenterne, pålægger ikke instituttet en forpligtelse til at foretage udlodninger til indehaverne, og instituttet er ikke på anden måde underlagt en sådan forpligtelse. </w:t>
            </w:r>
          </w:p>
          <w:p w14:paraId="7BCED8EF"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vi) Manglende udlodning betragtes ikke som misligholdelse fra instituttets side. </w:t>
            </w:r>
          </w:p>
          <w:p w14:paraId="4965407C"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vii) Annulleringen af udlodningerne pålægger ikke instituttet restriktioner. </w:t>
            </w:r>
          </w:p>
          <w:p w14:paraId="4C67B208" w14:textId="77777777" w:rsidR="00A3299B"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Sammenlignet med alle kapitalinstrumenter udstedt af instituttet dækker instrumenterne den første og forholdsmæssigt største andel af tab, efterhånden som de opstår, og hvert instrument dækker tab i samme omfang som alle andre egentlige kernekapitalinstrumenter. </w:t>
            </w:r>
          </w:p>
          <w:p w14:paraId="4125C6B5" w14:textId="77777777" w:rsidR="00A3299B"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Instrumenterne er efterstillet alle øvrige fordringer i tilfælde af instituttets insolvens eller likvidation. </w:t>
            </w:r>
          </w:p>
          <w:p w14:paraId="6144D383" w14:textId="77777777" w:rsidR="00A3299B"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Instrumenterne giver deres indehavere ret til en fordring på instituttets resterende aktiver, som i tilfælde af dets likvidation og efter betaling af alle foranstående fordringer opgøres i forhold til omfanget af sådanne udstedte instrumenter og ikke er et fast beløb eller en fast andel eller begrænset af et loft, undtagen for de i artikel 27 omhandlede kapitalinstrumenter. </w:t>
            </w:r>
          </w:p>
          <w:p w14:paraId="2873268D" w14:textId="77777777" w:rsidR="00A3299B"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Ingen af følgende har stillet sikkerhed for instrumenterne eller underlagt dem en garanti, som forbedrer fordringens rangorden: </w:t>
            </w:r>
          </w:p>
          <w:p w14:paraId="649AC085" w14:textId="77777777" w:rsidR="00A3299B" w:rsidRPr="00270255" w:rsidRDefault="00A3299B" w:rsidP="00A3299B">
            <w:pPr>
              <w:pStyle w:val="Brdtekst"/>
              <w:ind w:firstLine="1304"/>
              <w:rPr>
                <w:rFonts w:ascii="Times New Roman" w:hAnsi="Times New Roman"/>
                <w:sz w:val="24"/>
                <w:szCs w:val="24"/>
              </w:rPr>
            </w:pPr>
            <w:r w:rsidRPr="00270255">
              <w:rPr>
                <w:rFonts w:ascii="Times New Roman" w:hAnsi="Times New Roman"/>
                <w:sz w:val="24"/>
                <w:szCs w:val="24"/>
              </w:rPr>
              <w:t xml:space="preserve">i) instituttet eller dets datterselskaber </w:t>
            </w:r>
          </w:p>
          <w:p w14:paraId="1FD88B3B" w14:textId="77777777" w:rsidR="00A3299B" w:rsidRPr="00270255" w:rsidRDefault="00A3299B" w:rsidP="00A3299B">
            <w:pPr>
              <w:pStyle w:val="Brdtekst"/>
              <w:ind w:firstLine="1304"/>
              <w:rPr>
                <w:rFonts w:ascii="Times New Roman" w:hAnsi="Times New Roman"/>
                <w:sz w:val="24"/>
                <w:szCs w:val="24"/>
              </w:rPr>
            </w:pPr>
            <w:r w:rsidRPr="00270255">
              <w:rPr>
                <w:rFonts w:ascii="Times New Roman" w:hAnsi="Times New Roman"/>
                <w:sz w:val="24"/>
                <w:szCs w:val="24"/>
              </w:rPr>
              <w:t xml:space="preserve">ii) moderselskabet for instituttet eller dets datterselskaber </w:t>
            </w:r>
          </w:p>
          <w:p w14:paraId="516212E6"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iii) det finansielle moderholdingselskab eller dets datterselskaber </w:t>
            </w:r>
          </w:p>
          <w:p w14:paraId="3A7BF1CC" w14:textId="77777777" w:rsidR="00A3299B" w:rsidRPr="00270255" w:rsidRDefault="00A3299B" w:rsidP="00A3299B">
            <w:pPr>
              <w:pStyle w:val="Brdtekst"/>
              <w:ind w:firstLine="1304"/>
              <w:rPr>
                <w:rFonts w:ascii="Times New Roman" w:hAnsi="Times New Roman"/>
                <w:sz w:val="24"/>
                <w:szCs w:val="24"/>
              </w:rPr>
            </w:pPr>
            <w:r w:rsidRPr="00270255">
              <w:rPr>
                <w:rFonts w:ascii="Times New Roman" w:hAnsi="Times New Roman"/>
                <w:sz w:val="24"/>
                <w:szCs w:val="24"/>
              </w:rPr>
              <w:t xml:space="preserve">iv) det blandede holdingselskab eller dets datterselskaber </w:t>
            </w:r>
          </w:p>
          <w:p w14:paraId="3FF7FCB2"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v) det blandede finansielle holdingselskab eller dets datterselskaber </w:t>
            </w:r>
          </w:p>
          <w:p w14:paraId="27A60D7C" w14:textId="77777777" w:rsidR="00A3299B" w:rsidRPr="00270255" w:rsidRDefault="00A3299B" w:rsidP="00A3299B">
            <w:pPr>
              <w:pStyle w:val="Brdtekst"/>
              <w:ind w:left="1304"/>
              <w:rPr>
                <w:rFonts w:ascii="Times New Roman" w:hAnsi="Times New Roman"/>
                <w:sz w:val="24"/>
                <w:szCs w:val="24"/>
              </w:rPr>
            </w:pPr>
            <w:r w:rsidRPr="00270255">
              <w:rPr>
                <w:rFonts w:ascii="Times New Roman" w:hAnsi="Times New Roman"/>
                <w:sz w:val="24"/>
                <w:szCs w:val="24"/>
              </w:rPr>
              <w:t xml:space="preserve">vi) enhver virksomhed, som har snævre forbindelser med de i nr. i)- v) nævnte enheder. </w:t>
            </w:r>
          </w:p>
          <w:p w14:paraId="28601934" w14:textId="77777777" w:rsidR="00A3299B" w:rsidRPr="00270255" w:rsidRDefault="00A3299B" w:rsidP="00200B89">
            <w:pPr>
              <w:pStyle w:val="Brdtekst"/>
              <w:numPr>
                <w:ilvl w:val="1"/>
                <w:numId w:val="13"/>
              </w:numPr>
              <w:ind w:left="743"/>
              <w:rPr>
                <w:rFonts w:ascii="Times New Roman" w:hAnsi="Times New Roman"/>
                <w:sz w:val="24"/>
                <w:szCs w:val="24"/>
              </w:rPr>
            </w:pPr>
            <w:r w:rsidRPr="00270255">
              <w:rPr>
                <w:rFonts w:ascii="Times New Roman" w:hAnsi="Times New Roman"/>
                <w:sz w:val="24"/>
                <w:szCs w:val="24"/>
              </w:rPr>
              <w:t xml:space="preserve">Instrumenterne er ikke omfattet af kontraktbaserede ordninger eller andre ordninger, som forbedrer fordringernes rangorden ved insolvens eller likvidation. </w:t>
            </w:r>
          </w:p>
          <w:p w14:paraId="09B39A7D" w14:textId="77777777" w:rsidR="00A3299B" w:rsidRDefault="00A3299B" w:rsidP="00A11CE3">
            <w:pPr>
              <w:pStyle w:val="Brdtekst"/>
              <w:rPr>
                <w:rFonts w:ascii="Times New Roman" w:hAnsi="Times New Roman"/>
                <w:sz w:val="24"/>
                <w:szCs w:val="24"/>
              </w:rPr>
            </w:pPr>
          </w:p>
          <w:p w14:paraId="4A3A6289" w14:textId="77777777" w:rsidR="00DB0A06" w:rsidRDefault="00DB0A06" w:rsidP="00A11CE3">
            <w:pPr>
              <w:pStyle w:val="Brdtekst"/>
              <w:rPr>
                <w:rFonts w:ascii="Times New Roman" w:hAnsi="Times New Roman"/>
                <w:sz w:val="24"/>
                <w:szCs w:val="24"/>
              </w:rPr>
            </w:pPr>
          </w:p>
          <w:p w14:paraId="3CE2F34B" w14:textId="77777777" w:rsidR="00DB0A06" w:rsidRPr="00270255" w:rsidRDefault="00DB0A06" w:rsidP="00A11CE3">
            <w:pPr>
              <w:pStyle w:val="Brdtekst"/>
              <w:rPr>
                <w:rFonts w:ascii="Times New Roman" w:hAnsi="Times New Roman"/>
                <w:sz w:val="24"/>
                <w:szCs w:val="24"/>
              </w:rPr>
            </w:pPr>
          </w:p>
          <w:p w14:paraId="699C4FB2" w14:textId="77777777" w:rsidR="000B3DFE" w:rsidRPr="00270255" w:rsidRDefault="000B3DFE" w:rsidP="009C4E7B">
            <w:pPr>
              <w:pStyle w:val="Brdtekst"/>
              <w:rPr>
                <w:rFonts w:ascii="Times New Roman" w:hAnsi="Times New Roman"/>
                <w:sz w:val="24"/>
                <w:szCs w:val="24"/>
              </w:rPr>
            </w:pPr>
          </w:p>
        </w:tc>
      </w:tr>
      <w:tr w:rsidR="00BA5005" w:rsidRPr="00270255" w14:paraId="43F2D372" w14:textId="77777777" w:rsidTr="00A11CE3">
        <w:tc>
          <w:tcPr>
            <w:tcW w:w="3544" w:type="dxa"/>
          </w:tcPr>
          <w:p w14:paraId="1EAB3F24" w14:textId="731A2C3A" w:rsidR="00CE3F43" w:rsidRPr="00270255" w:rsidRDefault="00CE3F43" w:rsidP="00CE3F43">
            <w:pPr>
              <w:rPr>
                <w:b/>
                <w:u w:val="single"/>
              </w:rPr>
            </w:pPr>
            <w:r w:rsidRPr="00270255">
              <w:rPr>
                <w:b/>
                <w:u w:val="single"/>
              </w:rPr>
              <w:lastRenderedPageBreak/>
              <w:t>Spørgsmål 2.</w:t>
            </w:r>
            <w:r w:rsidR="00113BE6">
              <w:rPr>
                <w:b/>
                <w:u w:val="single"/>
              </w:rPr>
              <w:t>1</w:t>
            </w:r>
            <w:r w:rsidRPr="00270255">
              <w:rPr>
                <w:b/>
                <w:u w:val="single"/>
              </w:rPr>
              <w:t>:</w:t>
            </w:r>
          </w:p>
          <w:p w14:paraId="2AA21B1A" w14:textId="77777777" w:rsidR="00BA5005" w:rsidRPr="00270255" w:rsidRDefault="00A3299B" w:rsidP="00A81CA0">
            <w:r w:rsidRPr="00270255">
              <w:t>Opfylder instituttets egentlige kernekapitalinstrumenter betingelserne i litra a-</w:t>
            </w:r>
            <w:r w:rsidR="00730944" w:rsidRPr="00270255">
              <w:t>m</w:t>
            </w:r>
            <w:r w:rsidRPr="00270255">
              <w:t>?</w:t>
            </w:r>
            <w:r w:rsidR="00730944" w:rsidRPr="00270255">
              <w:t xml:space="preserve"> Der ses her bort fra overgangsbestemmelser.</w:t>
            </w:r>
          </w:p>
          <w:p w14:paraId="27F671D0" w14:textId="77777777" w:rsidR="00D116A2" w:rsidRPr="00270255" w:rsidRDefault="00D116A2" w:rsidP="00A81CA0"/>
          <w:p w14:paraId="34790956" w14:textId="77777777" w:rsidR="00A3299B" w:rsidRPr="00270255" w:rsidRDefault="00A3299B" w:rsidP="00A81CA0">
            <w:r w:rsidRPr="00270255">
              <w:t xml:space="preserve">Der henvises i øvrigt til uddybende </w:t>
            </w:r>
            <w:r w:rsidR="009C4E7B">
              <w:t xml:space="preserve">spørgsmål i </w:t>
            </w:r>
            <w:r w:rsidR="007014F7">
              <w:t>afsnit</w:t>
            </w:r>
            <w:r w:rsidR="009C4E7B">
              <w:t xml:space="preserve"> </w:t>
            </w:r>
            <w:r w:rsidR="003E7489">
              <w:t>4</w:t>
            </w:r>
            <w:r w:rsidR="009C4E7B">
              <w:t xml:space="preserve"> </w:t>
            </w:r>
            <w:r w:rsidRPr="00270255">
              <w:t>om indirekte finansiering</w:t>
            </w:r>
          </w:p>
          <w:p w14:paraId="2267FABE" w14:textId="77777777" w:rsidR="00A3299B" w:rsidRPr="00270255" w:rsidRDefault="00A3299B" w:rsidP="00A81CA0"/>
        </w:tc>
        <w:tc>
          <w:tcPr>
            <w:tcW w:w="851" w:type="dxa"/>
          </w:tcPr>
          <w:p w14:paraId="0A0AFDFA" w14:textId="77777777" w:rsidR="00BA5005" w:rsidRPr="00270255" w:rsidRDefault="00BA5005" w:rsidP="00A11CE3">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62BE2713" w14:textId="77777777" w:rsidR="00BA5005" w:rsidRPr="00270255" w:rsidRDefault="00BA5005" w:rsidP="00A11CE3"/>
        </w:tc>
        <w:tc>
          <w:tcPr>
            <w:tcW w:w="6946" w:type="dxa"/>
          </w:tcPr>
          <w:p w14:paraId="33EDFA24" w14:textId="77777777" w:rsidR="00BA5005" w:rsidRPr="00270255" w:rsidRDefault="00BA5005" w:rsidP="00A11CE3">
            <w:pPr>
              <w:snapToGrid w:val="0"/>
            </w:pPr>
            <w:r w:rsidRPr="00270255">
              <w:t>Redegørelse</w:t>
            </w:r>
          </w:p>
          <w:p w14:paraId="4BA202AE" w14:textId="77777777" w:rsidR="00BA5005" w:rsidRPr="00270255" w:rsidRDefault="00BA5005" w:rsidP="00A11CE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14DB19E" w14:textId="77777777" w:rsidR="00BA5005" w:rsidRPr="00270255" w:rsidRDefault="00BA5005" w:rsidP="00A11CE3">
            <w:pPr>
              <w:snapToGrid w:val="0"/>
            </w:pPr>
          </w:p>
        </w:tc>
        <w:tc>
          <w:tcPr>
            <w:tcW w:w="2268" w:type="dxa"/>
          </w:tcPr>
          <w:p w14:paraId="3CA3BD29" w14:textId="77777777" w:rsidR="00BA5005" w:rsidRPr="00270255" w:rsidRDefault="00BA5005" w:rsidP="00A11CE3">
            <w:pPr>
              <w:snapToGrid w:val="0"/>
            </w:pPr>
            <w:r w:rsidRPr="00270255">
              <w:t>Forbeholdt Finanstilsynet</w:t>
            </w:r>
          </w:p>
          <w:p w14:paraId="709CA1A9" w14:textId="77777777" w:rsidR="00BA5005" w:rsidRPr="00270255" w:rsidRDefault="00BA5005" w:rsidP="00A11CE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B54D5C" w:rsidRPr="00270255" w14:paraId="7D271455" w14:textId="77777777" w:rsidTr="00B54D5C">
        <w:tc>
          <w:tcPr>
            <w:tcW w:w="13609" w:type="dxa"/>
            <w:gridSpan w:val="4"/>
          </w:tcPr>
          <w:p w14:paraId="024A72E9" w14:textId="77777777" w:rsidR="00B54D5C" w:rsidRPr="00804ED6" w:rsidRDefault="00804ED6" w:rsidP="00804ED6">
            <w:pPr>
              <w:pStyle w:val="Overskrift1"/>
              <w:numPr>
                <w:ilvl w:val="0"/>
                <w:numId w:val="2"/>
              </w:numPr>
              <w:rPr>
                <w:rFonts w:cs="Times New Roman"/>
                <w:szCs w:val="24"/>
              </w:rPr>
            </w:pPr>
            <w:r w:rsidRPr="00270255">
              <w:rPr>
                <w:rFonts w:cs="Times New Roman"/>
                <w:szCs w:val="24"/>
              </w:rPr>
              <w:lastRenderedPageBreak/>
              <w:t>Egentlig kernekapitalinstrumenter</w:t>
            </w:r>
            <w:r>
              <w:rPr>
                <w:rFonts w:cs="Times New Roman"/>
                <w:szCs w:val="24"/>
              </w:rPr>
              <w:t xml:space="preserve"> udstedt af sparekasser og andelskasser (besvares kun af garantsparekasser og andelskasser)</w:t>
            </w:r>
          </w:p>
        </w:tc>
      </w:tr>
      <w:tr w:rsidR="00B54D5C" w:rsidRPr="00270255" w14:paraId="66DC4C7C" w14:textId="77777777" w:rsidTr="00B54D5C">
        <w:tc>
          <w:tcPr>
            <w:tcW w:w="13609" w:type="dxa"/>
            <w:gridSpan w:val="4"/>
          </w:tcPr>
          <w:p w14:paraId="5F43E9DB" w14:textId="77777777" w:rsidR="003E7489" w:rsidRDefault="003E7489" w:rsidP="00804ED6">
            <w:pPr>
              <w:pStyle w:val="Brdtekst"/>
              <w:rPr>
                <w:rFonts w:ascii="Times New Roman" w:hAnsi="Times New Roman"/>
                <w:sz w:val="24"/>
                <w:szCs w:val="24"/>
              </w:rPr>
            </w:pPr>
          </w:p>
          <w:p w14:paraId="4B6F5365" w14:textId="77777777" w:rsidR="00804ED6" w:rsidRDefault="00804ED6" w:rsidP="00804ED6">
            <w:pPr>
              <w:pStyle w:val="Brdtekst"/>
              <w:rPr>
                <w:rFonts w:ascii="Times New Roman" w:hAnsi="Times New Roman"/>
                <w:sz w:val="24"/>
                <w:szCs w:val="24"/>
              </w:rPr>
            </w:pPr>
            <w:r w:rsidRPr="00270255">
              <w:rPr>
                <w:rFonts w:ascii="Times New Roman" w:hAnsi="Times New Roman"/>
                <w:sz w:val="24"/>
                <w:szCs w:val="24"/>
              </w:rPr>
              <w:t>Ifølge CRR, artikel 2</w:t>
            </w:r>
            <w:r>
              <w:rPr>
                <w:rFonts w:ascii="Times New Roman" w:hAnsi="Times New Roman"/>
                <w:sz w:val="24"/>
                <w:szCs w:val="24"/>
              </w:rPr>
              <w:t>9</w:t>
            </w:r>
            <w:r w:rsidRPr="00270255">
              <w:rPr>
                <w:rFonts w:ascii="Times New Roman" w:hAnsi="Times New Roman"/>
                <w:sz w:val="24"/>
                <w:szCs w:val="24"/>
              </w:rPr>
              <w:t xml:space="preserve">, stk. 1, kvalificeres kapitalinstrumenter kun som egentlige kernekapitalinstrumenter, </w:t>
            </w:r>
            <w:r>
              <w:rPr>
                <w:rFonts w:ascii="Times New Roman" w:hAnsi="Times New Roman"/>
                <w:sz w:val="24"/>
                <w:szCs w:val="24"/>
              </w:rPr>
              <w:t>hvis betingelserne i artikel 28 med de ændringer, der følger af anvendelsen af artikel 29 er opfyldt.</w:t>
            </w:r>
          </w:p>
          <w:p w14:paraId="08DF258F" w14:textId="77777777" w:rsidR="00804ED6" w:rsidRDefault="00804ED6" w:rsidP="00804ED6">
            <w:pPr>
              <w:pStyle w:val="Brdtekst"/>
              <w:rPr>
                <w:rFonts w:ascii="Times New Roman" w:hAnsi="Times New Roman"/>
                <w:sz w:val="24"/>
                <w:szCs w:val="24"/>
              </w:rPr>
            </w:pPr>
          </w:p>
          <w:p w14:paraId="73B08695" w14:textId="77777777" w:rsidR="00535734" w:rsidRDefault="00535734" w:rsidP="00535734">
            <w:pPr>
              <w:pStyle w:val="Brdtekst"/>
              <w:rPr>
                <w:rFonts w:ascii="Times New Roman" w:hAnsi="Times New Roman"/>
                <w:sz w:val="24"/>
                <w:szCs w:val="24"/>
              </w:rPr>
            </w:pPr>
            <w:r>
              <w:rPr>
                <w:rFonts w:ascii="Times New Roman" w:hAnsi="Times New Roman"/>
                <w:sz w:val="24"/>
                <w:szCs w:val="24"/>
              </w:rPr>
              <w:t xml:space="preserve">Af artikel 29, stk. 2 fremgår, </w:t>
            </w:r>
          </w:p>
          <w:p w14:paraId="562805B4" w14:textId="77777777" w:rsidR="00535734" w:rsidRDefault="00535734" w:rsidP="00535734">
            <w:pPr>
              <w:pStyle w:val="Brdtekst"/>
              <w:rPr>
                <w:rFonts w:ascii="Times New Roman" w:hAnsi="Times New Roman"/>
                <w:sz w:val="24"/>
                <w:szCs w:val="24"/>
              </w:rPr>
            </w:pPr>
            <w:r>
              <w:rPr>
                <w:rFonts w:ascii="Times New Roman" w:hAnsi="Times New Roman"/>
                <w:sz w:val="24"/>
                <w:szCs w:val="24"/>
              </w:rPr>
              <w:t>at følgende betingelser skal være opfyldt:</w:t>
            </w:r>
          </w:p>
          <w:p w14:paraId="586FA2BB" w14:textId="77777777" w:rsidR="00535734" w:rsidRDefault="00535734" w:rsidP="00535734">
            <w:pPr>
              <w:pStyle w:val="Brdtekst"/>
              <w:numPr>
                <w:ilvl w:val="0"/>
                <w:numId w:val="26"/>
              </w:numPr>
              <w:rPr>
                <w:rFonts w:ascii="Times New Roman" w:hAnsi="Times New Roman"/>
                <w:sz w:val="24"/>
                <w:szCs w:val="24"/>
              </w:rPr>
            </w:pPr>
            <w:r>
              <w:rPr>
                <w:rFonts w:ascii="Times New Roman" w:hAnsi="Times New Roman"/>
                <w:sz w:val="24"/>
                <w:szCs w:val="24"/>
              </w:rPr>
              <w:t>Instituttet skal kunne nægte at indfri instrumenterne</w:t>
            </w:r>
          </w:p>
          <w:p w14:paraId="4DC2BFB1" w14:textId="77777777" w:rsidR="00535734" w:rsidRDefault="00184712" w:rsidP="00535734">
            <w:pPr>
              <w:pStyle w:val="Brdtekst"/>
              <w:numPr>
                <w:ilvl w:val="0"/>
                <w:numId w:val="26"/>
              </w:numPr>
              <w:rPr>
                <w:rFonts w:ascii="Times New Roman" w:hAnsi="Times New Roman"/>
                <w:sz w:val="24"/>
                <w:szCs w:val="24"/>
              </w:rPr>
            </w:pPr>
            <w:r>
              <w:rPr>
                <w:rFonts w:ascii="Times New Roman" w:hAnsi="Times New Roman"/>
                <w:sz w:val="24"/>
                <w:szCs w:val="24"/>
              </w:rPr>
              <w:t xml:space="preserve"> - </w:t>
            </w:r>
            <w:r w:rsidR="00535734">
              <w:rPr>
                <w:rFonts w:ascii="Times New Roman" w:hAnsi="Times New Roman"/>
                <w:sz w:val="24"/>
                <w:szCs w:val="24"/>
              </w:rPr>
              <w:t>(litra b er ikke relevant i Danmark)</w:t>
            </w:r>
          </w:p>
          <w:p w14:paraId="4340C863" w14:textId="77777777" w:rsidR="00184712" w:rsidRDefault="00535734" w:rsidP="00535734">
            <w:pPr>
              <w:pStyle w:val="Brdtekst"/>
              <w:numPr>
                <w:ilvl w:val="0"/>
                <w:numId w:val="26"/>
              </w:numPr>
              <w:rPr>
                <w:rFonts w:ascii="Times New Roman" w:hAnsi="Times New Roman"/>
                <w:sz w:val="24"/>
                <w:szCs w:val="24"/>
              </w:rPr>
            </w:pPr>
            <w:r>
              <w:rPr>
                <w:rFonts w:ascii="Times New Roman" w:hAnsi="Times New Roman"/>
                <w:sz w:val="24"/>
                <w:szCs w:val="24"/>
              </w:rPr>
              <w:t>Nægtelse af indfrielse af instrumenter eller i givet fald begrænsning af indfrielsen af instrumenterne må ikke betragtes som misligholdelse fra instituttets side</w:t>
            </w:r>
          </w:p>
          <w:p w14:paraId="275444B3" w14:textId="77777777" w:rsidR="00184712" w:rsidRPr="00184712" w:rsidRDefault="00184712" w:rsidP="00184712">
            <w:pPr>
              <w:pStyle w:val="Brdtekst"/>
              <w:ind w:left="1440"/>
              <w:rPr>
                <w:rFonts w:ascii="Times New Roman" w:hAnsi="Times New Roman"/>
                <w:sz w:val="24"/>
                <w:szCs w:val="24"/>
              </w:rPr>
            </w:pPr>
          </w:p>
        </w:tc>
      </w:tr>
      <w:tr w:rsidR="00535734" w:rsidRPr="00270255" w14:paraId="15690724" w14:textId="77777777" w:rsidTr="00B54D5C">
        <w:tc>
          <w:tcPr>
            <w:tcW w:w="3544" w:type="dxa"/>
          </w:tcPr>
          <w:p w14:paraId="2C6F1980" w14:textId="77777777" w:rsidR="00535734" w:rsidRPr="00270255" w:rsidRDefault="00535734" w:rsidP="001466D3">
            <w:pPr>
              <w:rPr>
                <w:b/>
                <w:u w:val="single"/>
              </w:rPr>
            </w:pPr>
            <w:r w:rsidRPr="00270255">
              <w:rPr>
                <w:b/>
                <w:u w:val="single"/>
              </w:rPr>
              <w:t xml:space="preserve">Spørgsmål </w:t>
            </w:r>
            <w:r>
              <w:rPr>
                <w:b/>
                <w:u w:val="single"/>
              </w:rPr>
              <w:t>3</w:t>
            </w:r>
            <w:r w:rsidRPr="00270255">
              <w:rPr>
                <w:b/>
                <w:u w:val="single"/>
              </w:rPr>
              <w:t>.</w:t>
            </w:r>
            <w:r w:rsidR="00366A3A">
              <w:rPr>
                <w:b/>
                <w:u w:val="single"/>
              </w:rPr>
              <w:t>1</w:t>
            </w:r>
            <w:r w:rsidRPr="00270255">
              <w:rPr>
                <w:b/>
                <w:u w:val="single"/>
              </w:rPr>
              <w:t>:</w:t>
            </w:r>
          </w:p>
          <w:p w14:paraId="3D31FEEB" w14:textId="77777777" w:rsidR="00184712" w:rsidRDefault="00535734" w:rsidP="001466D3">
            <w:r w:rsidRPr="00270255">
              <w:t>Opfylder instituttets egentlige kernekapitalinstrumenter betingel</w:t>
            </w:r>
            <w:r>
              <w:t>serne i artikel 29, stk. 2, litra a og c?</w:t>
            </w:r>
          </w:p>
          <w:p w14:paraId="420D58C9" w14:textId="77777777" w:rsidR="00184712" w:rsidRPr="00270255" w:rsidRDefault="00184712" w:rsidP="001466D3"/>
        </w:tc>
        <w:tc>
          <w:tcPr>
            <w:tcW w:w="851" w:type="dxa"/>
          </w:tcPr>
          <w:p w14:paraId="1513E193" w14:textId="77777777" w:rsidR="00535734" w:rsidRPr="00270255" w:rsidRDefault="00535734" w:rsidP="001466D3">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36C193FA" w14:textId="77777777" w:rsidR="00535734" w:rsidRPr="00270255" w:rsidRDefault="00535734" w:rsidP="001466D3"/>
        </w:tc>
        <w:tc>
          <w:tcPr>
            <w:tcW w:w="6946" w:type="dxa"/>
          </w:tcPr>
          <w:p w14:paraId="3B56B3EA" w14:textId="77777777" w:rsidR="00535734" w:rsidRPr="00270255" w:rsidRDefault="00535734" w:rsidP="001466D3">
            <w:pPr>
              <w:snapToGrid w:val="0"/>
            </w:pPr>
            <w:r w:rsidRPr="00270255">
              <w:t>Redegørelse</w:t>
            </w:r>
          </w:p>
          <w:p w14:paraId="0840E689" w14:textId="77777777" w:rsidR="00535734" w:rsidRPr="00270255" w:rsidRDefault="00535734" w:rsidP="001466D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3CD8D708" w14:textId="77777777" w:rsidR="00535734" w:rsidRPr="00270255" w:rsidRDefault="00535734" w:rsidP="001466D3">
            <w:pPr>
              <w:snapToGrid w:val="0"/>
            </w:pPr>
          </w:p>
        </w:tc>
        <w:tc>
          <w:tcPr>
            <w:tcW w:w="2268" w:type="dxa"/>
          </w:tcPr>
          <w:p w14:paraId="65BE2FC3" w14:textId="77777777" w:rsidR="00535734" w:rsidRPr="00270255" w:rsidRDefault="00535734" w:rsidP="001466D3">
            <w:pPr>
              <w:snapToGrid w:val="0"/>
            </w:pPr>
            <w:r w:rsidRPr="00270255">
              <w:t>Forbeholdt Finanstilsynet</w:t>
            </w:r>
          </w:p>
          <w:p w14:paraId="4C3B2E38" w14:textId="77777777" w:rsidR="00535734" w:rsidRPr="00270255" w:rsidRDefault="00535734" w:rsidP="001466D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35734" w:rsidRPr="00270255" w14:paraId="7F42BAF2" w14:textId="77777777" w:rsidTr="001466D3">
        <w:tc>
          <w:tcPr>
            <w:tcW w:w="13609" w:type="dxa"/>
            <w:gridSpan w:val="4"/>
          </w:tcPr>
          <w:p w14:paraId="7943C006" w14:textId="77777777" w:rsidR="00535734" w:rsidRDefault="00535734" w:rsidP="00535734">
            <w:pPr>
              <w:pStyle w:val="Brdtekst"/>
              <w:rPr>
                <w:rFonts w:ascii="Times New Roman" w:hAnsi="Times New Roman"/>
                <w:sz w:val="24"/>
                <w:szCs w:val="24"/>
              </w:rPr>
            </w:pPr>
          </w:p>
          <w:p w14:paraId="372A9F1D" w14:textId="77777777" w:rsidR="00535734" w:rsidRDefault="00535734" w:rsidP="00535734">
            <w:pPr>
              <w:pStyle w:val="Brdtekst"/>
              <w:rPr>
                <w:rFonts w:ascii="Times New Roman" w:hAnsi="Times New Roman"/>
                <w:sz w:val="24"/>
                <w:szCs w:val="24"/>
              </w:rPr>
            </w:pPr>
            <w:r>
              <w:rPr>
                <w:rFonts w:ascii="Times New Roman" w:hAnsi="Times New Roman"/>
                <w:sz w:val="24"/>
                <w:szCs w:val="24"/>
              </w:rPr>
              <w:t>Af artikel 29, stk. 3 fremgår, at følgende betingelser skal være opfyldt:</w:t>
            </w:r>
          </w:p>
          <w:p w14:paraId="7926FBF7" w14:textId="77777777" w:rsidR="00535734" w:rsidRDefault="00535734" w:rsidP="00535734">
            <w:pPr>
              <w:pStyle w:val="Brdtekst"/>
              <w:rPr>
                <w:rFonts w:ascii="Times New Roman" w:hAnsi="Times New Roman"/>
                <w:sz w:val="24"/>
                <w:szCs w:val="24"/>
              </w:rPr>
            </w:pPr>
          </w:p>
          <w:p w14:paraId="679D2A2A" w14:textId="77777777" w:rsidR="00535734" w:rsidRPr="00270255" w:rsidRDefault="00535734" w:rsidP="00535734">
            <w:pPr>
              <w:pStyle w:val="Brdtekst"/>
              <w:rPr>
                <w:rFonts w:ascii="Times New Roman" w:hAnsi="Times New Roman"/>
                <w:sz w:val="24"/>
                <w:szCs w:val="24"/>
              </w:rPr>
            </w:pPr>
            <w:r>
              <w:rPr>
                <w:rFonts w:ascii="Times New Roman" w:hAnsi="Times New Roman"/>
                <w:sz w:val="24"/>
                <w:szCs w:val="24"/>
              </w:rPr>
              <w:t>Kapitalinstrumenter kan kun have et loft over eller andre restriktioner af udlodningernes maksimale størrelse, hvis den gældende lovgivning eller instituttets vedtægter foreskriver dette.</w:t>
            </w:r>
          </w:p>
          <w:p w14:paraId="35B31E54" w14:textId="77777777" w:rsidR="00184712" w:rsidRDefault="00184712" w:rsidP="00B54D5C">
            <w:pPr>
              <w:snapToGrid w:val="0"/>
            </w:pPr>
          </w:p>
          <w:p w14:paraId="339F3F0E" w14:textId="77777777" w:rsidR="00184712" w:rsidRPr="00270255" w:rsidRDefault="00184712" w:rsidP="00B54D5C">
            <w:pPr>
              <w:snapToGrid w:val="0"/>
            </w:pPr>
          </w:p>
        </w:tc>
      </w:tr>
      <w:tr w:rsidR="00535734" w:rsidRPr="00270255" w14:paraId="0992C458" w14:textId="77777777" w:rsidTr="00B54D5C">
        <w:tc>
          <w:tcPr>
            <w:tcW w:w="3544" w:type="dxa"/>
          </w:tcPr>
          <w:p w14:paraId="3E0AE554" w14:textId="77777777" w:rsidR="00535734" w:rsidRPr="00270255" w:rsidRDefault="00535734" w:rsidP="00B54D5C">
            <w:pPr>
              <w:rPr>
                <w:b/>
                <w:u w:val="single"/>
              </w:rPr>
            </w:pPr>
            <w:r w:rsidRPr="00270255">
              <w:rPr>
                <w:b/>
                <w:u w:val="single"/>
              </w:rPr>
              <w:t xml:space="preserve">Spørgsmål </w:t>
            </w:r>
            <w:r>
              <w:rPr>
                <w:b/>
                <w:u w:val="single"/>
              </w:rPr>
              <w:t>3</w:t>
            </w:r>
            <w:r w:rsidRPr="00270255">
              <w:rPr>
                <w:b/>
                <w:u w:val="single"/>
              </w:rPr>
              <w:t>.</w:t>
            </w:r>
            <w:r>
              <w:rPr>
                <w:b/>
                <w:u w:val="single"/>
              </w:rPr>
              <w:t>2</w:t>
            </w:r>
            <w:r w:rsidRPr="00270255">
              <w:rPr>
                <w:b/>
                <w:u w:val="single"/>
              </w:rPr>
              <w:t>:</w:t>
            </w:r>
          </w:p>
          <w:p w14:paraId="430C9478" w14:textId="77777777" w:rsidR="00535734" w:rsidRDefault="00535734" w:rsidP="003E7489">
            <w:r w:rsidRPr="00270255">
              <w:t>Opfylder instituttets egentlige kernekapitalinstrumenter betingel</w:t>
            </w:r>
            <w:r>
              <w:t>serne i artikel 29, stk. 3?</w:t>
            </w:r>
          </w:p>
          <w:p w14:paraId="5EA7F485" w14:textId="77777777" w:rsidR="00535734" w:rsidRDefault="00535734" w:rsidP="003E7489"/>
          <w:p w14:paraId="43255250" w14:textId="77777777" w:rsidR="00113BE6" w:rsidRDefault="00113BE6" w:rsidP="003E7489"/>
          <w:p w14:paraId="67C775EC" w14:textId="77777777" w:rsidR="00113BE6" w:rsidRDefault="00113BE6" w:rsidP="003E7489"/>
          <w:p w14:paraId="54A887F9" w14:textId="34101376" w:rsidR="00113BE6" w:rsidRPr="00270255" w:rsidRDefault="00113BE6" w:rsidP="003E7489"/>
        </w:tc>
        <w:tc>
          <w:tcPr>
            <w:tcW w:w="851" w:type="dxa"/>
          </w:tcPr>
          <w:p w14:paraId="60754721" w14:textId="77777777" w:rsidR="00535734" w:rsidRPr="00270255" w:rsidRDefault="00535734" w:rsidP="00B54D5C">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0E369781" w14:textId="77777777" w:rsidR="00535734" w:rsidRPr="00270255" w:rsidRDefault="00535734" w:rsidP="00B54D5C"/>
        </w:tc>
        <w:tc>
          <w:tcPr>
            <w:tcW w:w="6946" w:type="dxa"/>
          </w:tcPr>
          <w:p w14:paraId="5F5EF386" w14:textId="77777777" w:rsidR="00535734" w:rsidRPr="00270255" w:rsidRDefault="00535734" w:rsidP="00B54D5C">
            <w:pPr>
              <w:snapToGrid w:val="0"/>
            </w:pPr>
            <w:r w:rsidRPr="00270255">
              <w:t>Redegørelse</w:t>
            </w:r>
          </w:p>
          <w:p w14:paraId="58B13657" w14:textId="77777777" w:rsidR="00535734" w:rsidRPr="00270255" w:rsidRDefault="00535734" w:rsidP="00B54D5C">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17E9F91" w14:textId="77777777" w:rsidR="00535734" w:rsidRPr="00270255" w:rsidRDefault="00535734" w:rsidP="00B54D5C">
            <w:pPr>
              <w:snapToGrid w:val="0"/>
            </w:pPr>
          </w:p>
        </w:tc>
        <w:tc>
          <w:tcPr>
            <w:tcW w:w="2268" w:type="dxa"/>
          </w:tcPr>
          <w:p w14:paraId="11BC501A" w14:textId="77777777" w:rsidR="00535734" w:rsidRPr="00270255" w:rsidRDefault="00535734" w:rsidP="00B54D5C">
            <w:pPr>
              <w:snapToGrid w:val="0"/>
            </w:pPr>
            <w:r w:rsidRPr="00270255">
              <w:t>Forbeholdt Finanstilsynet</w:t>
            </w:r>
          </w:p>
          <w:p w14:paraId="0059A16F" w14:textId="77777777" w:rsidR="00535734" w:rsidRPr="00270255" w:rsidRDefault="00535734" w:rsidP="00B54D5C">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35734" w:rsidRPr="00270255" w14:paraId="22DD1E4F" w14:textId="77777777" w:rsidTr="001466D3">
        <w:tc>
          <w:tcPr>
            <w:tcW w:w="13609" w:type="dxa"/>
            <w:gridSpan w:val="4"/>
          </w:tcPr>
          <w:p w14:paraId="5E830D1B" w14:textId="77777777" w:rsidR="00535734" w:rsidRDefault="00535734" w:rsidP="00B54D5C">
            <w:pPr>
              <w:snapToGrid w:val="0"/>
            </w:pPr>
          </w:p>
          <w:p w14:paraId="649AA24F" w14:textId="77777777" w:rsidR="00535734" w:rsidRDefault="00535734" w:rsidP="00B54D5C">
            <w:pPr>
              <w:snapToGrid w:val="0"/>
            </w:pPr>
            <w:r>
              <w:t>Af artikel 29, stk. 4 fremgår, at følgende betingelser skal være opfyldt:</w:t>
            </w:r>
          </w:p>
          <w:p w14:paraId="1B5195A1" w14:textId="77777777" w:rsidR="00535734" w:rsidRDefault="00535734" w:rsidP="00B54D5C">
            <w:pPr>
              <w:snapToGrid w:val="0"/>
            </w:pPr>
          </w:p>
          <w:p w14:paraId="23E60EAB" w14:textId="77777777" w:rsidR="00535734" w:rsidRDefault="00535734" w:rsidP="00B54D5C">
            <w:pPr>
              <w:snapToGrid w:val="0"/>
            </w:pPr>
            <w:r>
              <w:t>Giver kapitalinstrumenterne indehaveren ret til at få andel i instituttets reserver i tilfælde af insolvens eller likvidation, og denne andel er begrænset til instrumenternes nominelle værdi, gælder denne begrænsning i samme omfang for indehavere af alle andre egentlige kernekapitalinstrumenter udstedt af instituttet.</w:t>
            </w:r>
          </w:p>
          <w:p w14:paraId="4BCD6D0B" w14:textId="77777777" w:rsidR="00535734" w:rsidRPr="00270255" w:rsidRDefault="00535734" w:rsidP="00B54D5C">
            <w:pPr>
              <w:snapToGrid w:val="0"/>
            </w:pPr>
          </w:p>
        </w:tc>
      </w:tr>
      <w:tr w:rsidR="00535734" w:rsidRPr="00270255" w14:paraId="24B45C71" w14:textId="77777777" w:rsidTr="00B54D5C">
        <w:tc>
          <w:tcPr>
            <w:tcW w:w="3544" w:type="dxa"/>
          </w:tcPr>
          <w:p w14:paraId="17E071FA" w14:textId="77777777" w:rsidR="00535734" w:rsidRPr="00270255" w:rsidRDefault="00535734" w:rsidP="001466D3">
            <w:pPr>
              <w:rPr>
                <w:b/>
                <w:u w:val="single"/>
              </w:rPr>
            </w:pPr>
            <w:r w:rsidRPr="00270255">
              <w:rPr>
                <w:b/>
                <w:u w:val="single"/>
              </w:rPr>
              <w:t xml:space="preserve">Spørgsmål </w:t>
            </w:r>
            <w:r>
              <w:rPr>
                <w:b/>
                <w:u w:val="single"/>
              </w:rPr>
              <w:t>3</w:t>
            </w:r>
            <w:r w:rsidRPr="00270255">
              <w:rPr>
                <w:b/>
                <w:u w:val="single"/>
              </w:rPr>
              <w:t>.</w:t>
            </w:r>
            <w:r>
              <w:rPr>
                <w:b/>
                <w:u w:val="single"/>
              </w:rPr>
              <w:t>3</w:t>
            </w:r>
            <w:r w:rsidRPr="00270255">
              <w:rPr>
                <w:b/>
                <w:u w:val="single"/>
              </w:rPr>
              <w:t>:</w:t>
            </w:r>
          </w:p>
          <w:p w14:paraId="18813CEB" w14:textId="77777777" w:rsidR="00535734" w:rsidRDefault="00535734" w:rsidP="001466D3">
            <w:r w:rsidRPr="00270255">
              <w:t>Opfylder instituttets egentlige kernekapitalinstrumenter betingel</w:t>
            </w:r>
            <w:r>
              <w:t>serne i artikel 29, stk. 4?</w:t>
            </w:r>
          </w:p>
          <w:p w14:paraId="310AC695" w14:textId="77777777" w:rsidR="00535734" w:rsidRPr="00270255" w:rsidRDefault="00535734" w:rsidP="001466D3"/>
        </w:tc>
        <w:tc>
          <w:tcPr>
            <w:tcW w:w="851" w:type="dxa"/>
          </w:tcPr>
          <w:p w14:paraId="05711959" w14:textId="77777777" w:rsidR="00535734" w:rsidRPr="00270255" w:rsidRDefault="00535734" w:rsidP="001466D3">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5EE62F4A" w14:textId="77777777" w:rsidR="00535734" w:rsidRPr="00270255" w:rsidRDefault="00535734" w:rsidP="001466D3"/>
        </w:tc>
        <w:tc>
          <w:tcPr>
            <w:tcW w:w="6946" w:type="dxa"/>
          </w:tcPr>
          <w:p w14:paraId="3FB1206B" w14:textId="77777777" w:rsidR="00535734" w:rsidRPr="00270255" w:rsidRDefault="00535734" w:rsidP="001466D3">
            <w:pPr>
              <w:snapToGrid w:val="0"/>
            </w:pPr>
            <w:r w:rsidRPr="00270255">
              <w:t>Redegørelse</w:t>
            </w:r>
          </w:p>
          <w:p w14:paraId="0935905A" w14:textId="77777777" w:rsidR="00535734" w:rsidRPr="00270255" w:rsidRDefault="00535734" w:rsidP="001466D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6EF7A40" w14:textId="77777777" w:rsidR="00535734" w:rsidRPr="00270255" w:rsidRDefault="00535734" w:rsidP="001466D3">
            <w:pPr>
              <w:snapToGrid w:val="0"/>
            </w:pPr>
          </w:p>
        </w:tc>
        <w:tc>
          <w:tcPr>
            <w:tcW w:w="2268" w:type="dxa"/>
          </w:tcPr>
          <w:p w14:paraId="0C31D3E0" w14:textId="77777777" w:rsidR="00535734" w:rsidRPr="00270255" w:rsidRDefault="00535734" w:rsidP="001466D3">
            <w:pPr>
              <w:snapToGrid w:val="0"/>
            </w:pPr>
            <w:r w:rsidRPr="00270255">
              <w:t>Forbeholdt Finanstilsynet</w:t>
            </w:r>
          </w:p>
          <w:p w14:paraId="6E99FE0E" w14:textId="77777777" w:rsidR="00535734" w:rsidRPr="00270255" w:rsidRDefault="00535734" w:rsidP="001466D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364B308B" w14:textId="77777777" w:rsidR="00083E63" w:rsidRPr="00962895" w:rsidRDefault="00553216" w:rsidP="00083E63">
      <w:r w:rsidRPr="00962895">
        <w:br w:type="page"/>
      </w:r>
    </w:p>
    <w:p w14:paraId="7D9227FF" w14:textId="77777777" w:rsidR="005036AC" w:rsidRDefault="005036AC"/>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53546C" w:rsidRPr="00270255" w14:paraId="2F99385E" w14:textId="77777777" w:rsidTr="00A11CE3">
        <w:tc>
          <w:tcPr>
            <w:tcW w:w="13609" w:type="dxa"/>
            <w:gridSpan w:val="4"/>
          </w:tcPr>
          <w:p w14:paraId="6B156A3B" w14:textId="77777777" w:rsidR="00D116A2" w:rsidRPr="00DB0A06" w:rsidRDefault="00212282" w:rsidP="00D116A2">
            <w:pPr>
              <w:pStyle w:val="Overskrift1"/>
              <w:numPr>
                <w:ilvl w:val="0"/>
                <w:numId w:val="2"/>
              </w:numPr>
              <w:rPr>
                <w:rFonts w:cs="Times New Roman"/>
                <w:szCs w:val="24"/>
              </w:rPr>
            </w:pPr>
            <w:r w:rsidRPr="00270255">
              <w:rPr>
                <w:rFonts w:cs="Times New Roman"/>
                <w:szCs w:val="24"/>
              </w:rPr>
              <w:t xml:space="preserve">Uddybende spørgsmål om </w:t>
            </w:r>
            <w:r w:rsidR="001F01E2" w:rsidRPr="00270255">
              <w:rPr>
                <w:rFonts w:cs="Times New Roman"/>
                <w:szCs w:val="24"/>
              </w:rPr>
              <w:t xml:space="preserve">indirekte </w:t>
            </w:r>
            <w:r w:rsidRPr="00270255">
              <w:rPr>
                <w:rFonts w:cs="Times New Roman"/>
                <w:szCs w:val="24"/>
              </w:rPr>
              <w:t>finansiering af e</w:t>
            </w:r>
            <w:r w:rsidR="0053546C" w:rsidRPr="00270255">
              <w:rPr>
                <w:rFonts w:cs="Times New Roman"/>
                <w:szCs w:val="24"/>
              </w:rPr>
              <w:t>gentlig kerne</w:t>
            </w:r>
            <w:r w:rsidRPr="00270255">
              <w:rPr>
                <w:rFonts w:cs="Times New Roman"/>
                <w:szCs w:val="24"/>
              </w:rPr>
              <w:t>kapital-, hybrid kernekapital- og supplerende kapitalinstrumenter</w:t>
            </w:r>
          </w:p>
        </w:tc>
      </w:tr>
      <w:tr w:rsidR="0053546C" w:rsidRPr="00270255" w14:paraId="19242A54" w14:textId="77777777" w:rsidTr="00A11CE3">
        <w:tc>
          <w:tcPr>
            <w:tcW w:w="13609" w:type="dxa"/>
            <w:gridSpan w:val="4"/>
          </w:tcPr>
          <w:p w14:paraId="24144D62" w14:textId="77777777" w:rsidR="0053546C" w:rsidRPr="00270255" w:rsidRDefault="00212282" w:rsidP="00246E41">
            <w:pPr>
              <w:snapToGrid w:val="0"/>
            </w:pPr>
            <w:r w:rsidRPr="00270255">
              <w:t xml:space="preserve">I </w:t>
            </w:r>
            <w:r w:rsidR="00FC5B66" w:rsidRPr="00270255">
              <w:t>F</w:t>
            </w:r>
            <w:r w:rsidRPr="00270255">
              <w:t>orordning (EU) nr. 241/2014 af 7. januar 2014</w:t>
            </w:r>
            <w:r w:rsidR="00FC5B66" w:rsidRPr="00270255">
              <w:t xml:space="preserve"> om kapitalgrundlagskrav</w:t>
            </w:r>
            <w:r w:rsidRPr="00270255">
              <w:t>, artikel 8-9 specificeres de relevante former for indirekte finansiering af kapitalinstrumenter</w:t>
            </w:r>
            <w:r w:rsidR="00246E41" w:rsidRPr="00270255">
              <w:t xml:space="preserve"> i medfør af </w:t>
            </w:r>
            <w:r w:rsidRPr="00270255">
              <w:t>CRR, artikel 28</w:t>
            </w:r>
            <w:r w:rsidR="00246E41" w:rsidRPr="00270255">
              <w:t>, artikel 52 og artikel 63.</w:t>
            </w:r>
          </w:p>
          <w:p w14:paraId="39E97D45" w14:textId="77777777" w:rsidR="00246E41" w:rsidRPr="00270255" w:rsidRDefault="00246E41" w:rsidP="00246E41">
            <w:pPr>
              <w:pStyle w:val="CM3"/>
              <w:spacing w:before="60" w:after="60"/>
              <w:rPr>
                <w:rFonts w:ascii="Times New Roman" w:hAnsi="Times New Roman"/>
                <w:color w:val="000000"/>
              </w:rPr>
            </w:pPr>
          </w:p>
          <w:p w14:paraId="4D77A3A5" w14:textId="77777777" w:rsidR="00246E41" w:rsidRPr="00270255" w:rsidRDefault="00246E41" w:rsidP="00246E41">
            <w:pPr>
              <w:pStyle w:val="CM3"/>
              <w:spacing w:before="60" w:after="60"/>
              <w:rPr>
                <w:rFonts w:ascii="Times New Roman" w:hAnsi="Times New Roman"/>
                <w:color w:val="000000"/>
              </w:rPr>
            </w:pPr>
            <w:r w:rsidRPr="00270255">
              <w:rPr>
                <w:rFonts w:ascii="Times New Roman" w:hAnsi="Times New Roman"/>
                <w:color w:val="000000"/>
              </w:rPr>
              <w:t>Artikel 8</w:t>
            </w:r>
          </w:p>
          <w:p w14:paraId="01CDDA25" w14:textId="77777777" w:rsidR="00246E41" w:rsidRPr="00270255" w:rsidRDefault="00532ADA" w:rsidP="00246E41">
            <w:pPr>
              <w:pStyle w:val="CM4"/>
              <w:spacing w:before="60" w:after="60"/>
              <w:rPr>
                <w:rFonts w:ascii="Times New Roman" w:hAnsi="Times New Roman"/>
              </w:rPr>
            </w:pPr>
            <w:r w:rsidRPr="00270255">
              <w:rPr>
                <w:rFonts w:ascii="Times New Roman" w:hAnsi="Times New Roman"/>
              </w:rPr>
              <w:t xml:space="preserve">Stk. </w:t>
            </w:r>
            <w:r w:rsidR="00246E41" w:rsidRPr="00270255">
              <w:rPr>
                <w:rFonts w:ascii="Times New Roman" w:hAnsi="Times New Roman"/>
              </w:rPr>
              <w:t xml:space="preserve">1. Indirekte finansiering af kapitalinstrumenter som fastsat i artikel 28, stk. 1, litra b), artikel 52, stk. 1, litra c), og artikel 63, litra c), i forordning (EU) nr. 575/2013 er finansiering, der ikke er direkte. </w:t>
            </w:r>
          </w:p>
          <w:p w14:paraId="513671D1" w14:textId="77777777" w:rsidR="00246E41" w:rsidRPr="00270255" w:rsidRDefault="00532ADA" w:rsidP="00246E41">
            <w:pPr>
              <w:pStyle w:val="CM4"/>
              <w:spacing w:before="60" w:after="60"/>
              <w:rPr>
                <w:rFonts w:ascii="Times New Roman" w:hAnsi="Times New Roman"/>
              </w:rPr>
            </w:pPr>
            <w:r w:rsidRPr="00270255">
              <w:rPr>
                <w:rFonts w:ascii="Times New Roman" w:hAnsi="Times New Roman"/>
              </w:rPr>
              <w:t>Stk. 2</w:t>
            </w:r>
            <w:r w:rsidR="00246E41" w:rsidRPr="00270255">
              <w:rPr>
                <w:rFonts w:ascii="Times New Roman" w:hAnsi="Times New Roman"/>
              </w:rPr>
              <w:t>. Med henblik på stk. 1 henviser direkte finansiering til situationer, hvor et institut har ydet et lån eller en anden form for finansiering til en investor, som anvendes til køb af dets kapitalinstrumenter.</w:t>
            </w:r>
          </w:p>
          <w:p w14:paraId="30B9377F" w14:textId="77777777" w:rsidR="00246E41" w:rsidRPr="00270255" w:rsidRDefault="00532ADA" w:rsidP="00246E41">
            <w:pPr>
              <w:pStyle w:val="CM4"/>
              <w:spacing w:before="60" w:after="60"/>
              <w:rPr>
                <w:rFonts w:ascii="Times New Roman" w:hAnsi="Times New Roman"/>
              </w:rPr>
            </w:pPr>
            <w:r w:rsidRPr="00270255">
              <w:rPr>
                <w:rFonts w:ascii="Times New Roman" w:hAnsi="Times New Roman"/>
              </w:rPr>
              <w:t xml:space="preserve">Stk. </w:t>
            </w:r>
            <w:r w:rsidR="00246E41" w:rsidRPr="00270255">
              <w:rPr>
                <w:rFonts w:ascii="Times New Roman" w:hAnsi="Times New Roman"/>
              </w:rPr>
              <w:t xml:space="preserve">3. Direkte finansiering omfatter også finansiering, der ydes til andre formål end køb af et instituts kapitalinstrumenter til en fysisk eller juridisk person, som har en kvalificerende besiddelse i kreditinstituttet som defineret i artikel 4, stk. 36, i forordning (EU) nr. 575/2013, eller som vurderes at være en nærtstående part som defineret i afsnit 9 i International regnskabsstandard 24 (Oplysning om nærtstående parter) som anvendt i Unionen, jf. Europa-Parlamentets og Rådets forordning (EF) nr. 1606/2002, under hensyntagen til yderligere retningslinjer, der fastsættes af </w:t>
            </w:r>
            <w:r w:rsidR="007F7FD8">
              <w:rPr>
                <w:rFonts w:ascii="Times New Roman" w:hAnsi="Times New Roman"/>
              </w:rPr>
              <w:t>Finanstilsynet</w:t>
            </w:r>
            <w:r w:rsidR="00246E41" w:rsidRPr="00270255">
              <w:rPr>
                <w:rFonts w:ascii="Times New Roman" w:hAnsi="Times New Roman"/>
              </w:rPr>
              <w:t xml:space="preserve">, hvis instituttet ikke kan godtgøre følgende: </w:t>
            </w:r>
          </w:p>
          <w:p w14:paraId="4C92C213" w14:textId="77777777" w:rsidR="007B27BA" w:rsidRPr="00270255" w:rsidRDefault="007B27BA" w:rsidP="008B4433">
            <w:pPr>
              <w:pStyle w:val="Brdtekst"/>
              <w:rPr>
                <w:rFonts w:ascii="Times New Roman" w:hAnsi="Times New Roman"/>
                <w:sz w:val="24"/>
                <w:szCs w:val="24"/>
              </w:rPr>
            </w:pPr>
          </w:p>
          <w:p w14:paraId="352C42EC" w14:textId="77777777" w:rsidR="00CC2AED" w:rsidRPr="00270255" w:rsidRDefault="00246E41" w:rsidP="00200B89">
            <w:pPr>
              <w:pStyle w:val="Brdtekst"/>
              <w:numPr>
                <w:ilvl w:val="1"/>
                <w:numId w:val="12"/>
              </w:numPr>
              <w:ind w:left="885"/>
              <w:rPr>
                <w:rFonts w:ascii="Times New Roman" w:hAnsi="Times New Roman"/>
                <w:sz w:val="24"/>
                <w:szCs w:val="24"/>
              </w:rPr>
            </w:pPr>
            <w:r w:rsidRPr="00270255">
              <w:rPr>
                <w:rFonts w:ascii="Times New Roman" w:hAnsi="Times New Roman"/>
                <w:sz w:val="24"/>
                <w:szCs w:val="24"/>
              </w:rPr>
              <w:t xml:space="preserve">Transaktionen er realiseret på samme betingelser som andre transaktioner med tredjemand. </w:t>
            </w:r>
          </w:p>
          <w:p w14:paraId="7E102069" w14:textId="77777777" w:rsidR="00CC2AED" w:rsidRPr="00270255" w:rsidRDefault="00CC2AED" w:rsidP="00930977">
            <w:pPr>
              <w:pStyle w:val="Brdtekst"/>
              <w:ind w:left="885"/>
              <w:rPr>
                <w:rFonts w:ascii="Times New Roman" w:hAnsi="Times New Roman"/>
                <w:sz w:val="24"/>
                <w:szCs w:val="24"/>
              </w:rPr>
            </w:pPr>
          </w:p>
          <w:p w14:paraId="4BB863B0" w14:textId="240F2165" w:rsidR="00246E41" w:rsidRPr="00270255" w:rsidRDefault="00246E41" w:rsidP="00200B89">
            <w:pPr>
              <w:pStyle w:val="Brdtekst"/>
              <w:numPr>
                <w:ilvl w:val="1"/>
                <w:numId w:val="12"/>
              </w:numPr>
              <w:ind w:left="885"/>
              <w:rPr>
                <w:rFonts w:ascii="Times New Roman" w:hAnsi="Times New Roman"/>
                <w:sz w:val="24"/>
                <w:szCs w:val="24"/>
              </w:rPr>
            </w:pPr>
            <w:r w:rsidRPr="00270255">
              <w:rPr>
                <w:rFonts w:ascii="Times New Roman" w:hAnsi="Times New Roman"/>
                <w:sz w:val="24"/>
                <w:szCs w:val="24"/>
              </w:rPr>
              <w:t xml:space="preserve">Den fysiske eller juridiske person eller den nærtstående part er ikke afhængig af udlodningerne eller salget af de </w:t>
            </w:r>
            <w:r w:rsidR="00BF01CA" w:rsidRPr="00270255">
              <w:rPr>
                <w:rFonts w:ascii="Times New Roman" w:hAnsi="Times New Roman"/>
                <w:sz w:val="24"/>
                <w:szCs w:val="24"/>
              </w:rPr>
              <w:t>besiddende</w:t>
            </w:r>
            <w:r w:rsidRPr="00270255">
              <w:rPr>
                <w:rFonts w:ascii="Times New Roman" w:hAnsi="Times New Roman"/>
                <w:sz w:val="24"/>
                <w:szCs w:val="24"/>
              </w:rPr>
              <w:t xml:space="preserve"> kapitalinstrumenter for at kunne betale renter og tilbagebetale finansieringen.</w:t>
            </w:r>
          </w:p>
          <w:p w14:paraId="7BD54767" w14:textId="77777777" w:rsidR="00817554" w:rsidRPr="00270255" w:rsidRDefault="00817554" w:rsidP="008B4433">
            <w:pPr>
              <w:pStyle w:val="Brdtekst"/>
              <w:rPr>
                <w:rFonts w:ascii="Times New Roman" w:hAnsi="Times New Roman"/>
                <w:sz w:val="24"/>
                <w:szCs w:val="24"/>
              </w:rPr>
            </w:pPr>
          </w:p>
          <w:p w14:paraId="40212CE9" w14:textId="77777777" w:rsidR="00817554" w:rsidRPr="00270255" w:rsidRDefault="00817554" w:rsidP="00817554">
            <w:pPr>
              <w:pStyle w:val="Brdtekst"/>
              <w:rPr>
                <w:rFonts w:ascii="Times New Roman" w:hAnsi="Times New Roman"/>
                <w:sz w:val="24"/>
                <w:szCs w:val="24"/>
              </w:rPr>
            </w:pPr>
            <w:r w:rsidRPr="00270255">
              <w:rPr>
                <w:rFonts w:ascii="Times New Roman" w:hAnsi="Times New Roman"/>
                <w:sz w:val="24"/>
                <w:szCs w:val="24"/>
              </w:rPr>
              <w:t>Artikel 9</w:t>
            </w:r>
          </w:p>
          <w:p w14:paraId="53C4AF19" w14:textId="77777777" w:rsidR="00817554" w:rsidRPr="00270255" w:rsidRDefault="00817554" w:rsidP="00817554">
            <w:pPr>
              <w:pStyle w:val="Brdtekst"/>
              <w:rPr>
                <w:rFonts w:ascii="Times New Roman" w:hAnsi="Times New Roman"/>
                <w:sz w:val="24"/>
                <w:szCs w:val="24"/>
              </w:rPr>
            </w:pPr>
            <w:r w:rsidRPr="00270255">
              <w:rPr>
                <w:rFonts w:ascii="Times New Roman" w:hAnsi="Times New Roman"/>
                <w:sz w:val="24"/>
                <w:szCs w:val="24"/>
              </w:rPr>
              <w:t>Stk. 4. For at undgå kvalificering af direkte eller indirekte finansiering i overensstemmelse med artikel 8, eller hvis lånet eller en anden form for finansiering eller garanti ydes til en fysisk eller juridisk person, som ejer en kvalificeret andel i kreditinstituttet, eller som betragtes som en nærtstående part, jf. stk. 3, sikrer instituttet løbende, at det ikke har ydet lånet el</w:t>
            </w:r>
            <w:r w:rsidR="00F93F02">
              <w:rPr>
                <w:rFonts w:ascii="Times New Roman" w:hAnsi="Times New Roman"/>
                <w:sz w:val="24"/>
                <w:szCs w:val="24"/>
              </w:rPr>
              <w:t>ler en anden form for finansiering</w:t>
            </w:r>
            <w:r w:rsidRPr="00270255">
              <w:rPr>
                <w:rFonts w:ascii="Times New Roman" w:hAnsi="Times New Roman"/>
                <w:sz w:val="24"/>
                <w:szCs w:val="24"/>
              </w:rPr>
              <w:t xml:space="preserve"> eller garanti med henblik på direkte eller indirekte at tegne instituttets kapitalinstrumenter. Hvis lånet eller en anden form for finansiering eller garanti ydes til andre typer parter, foretager instituttet denne kontrol »bedst muligt«.</w:t>
            </w:r>
          </w:p>
          <w:p w14:paraId="3B7E44B9" w14:textId="77777777" w:rsidR="00532ADA" w:rsidRPr="00270255" w:rsidRDefault="00532ADA" w:rsidP="00817554">
            <w:pPr>
              <w:pStyle w:val="Brdtekst"/>
              <w:rPr>
                <w:rFonts w:ascii="Times New Roman" w:hAnsi="Times New Roman"/>
                <w:sz w:val="24"/>
                <w:szCs w:val="24"/>
              </w:rPr>
            </w:pPr>
          </w:p>
          <w:p w14:paraId="761F4399" w14:textId="77777777" w:rsidR="00532ADA" w:rsidRPr="00270255" w:rsidRDefault="00532ADA" w:rsidP="00817554">
            <w:pPr>
              <w:pStyle w:val="Brdtekst"/>
              <w:rPr>
                <w:rFonts w:ascii="Times New Roman" w:hAnsi="Times New Roman"/>
                <w:sz w:val="24"/>
                <w:szCs w:val="24"/>
              </w:rPr>
            </w:pPr>
            <w:r w:rsidRPr="00270255">
              <w:rPr>
                <w:rFonts w:ascii="Times New Roman" w:hAnsi="Times New Roman"/>
                <w:sz w:val="24"/>
                <w:szCs w:val="24"/>
              </w:rPr>
              <w:t xml:space="preserve">For mere detaljeret beskrivelse henvises til </w:t>
            </w:r>
            <w:r w:rsidR="00A81CA0" w:rsidRPr="00270255">
              <w:rPr>
                <w:rFonts w:ascii="Times New Roman" w:hAnsi="Times New Roman"/>
                <w:sz w:val="24"/>
                <w:szCs w:val="24"/>
              </w:rPr>
              <w:t xml:space="preserve">de </w:t>
            </w:r>
            <w:r w:rsidRPr="00270255">
              <w:rPr>
                <w:rFonts w:ascii="Times New Roman" w:hAnsi="Times New Roman"/>
                <w:sz w:val="24"/>
                <w:szCs w:val="24"/>
              </w:rPr>
              <w:t>øvrige bestemmelser i artikel 9</w:t>
            </w:r>
            <w:r w:rsidR="003A2E9E" w:rsidRPr="00270255">
              <w:rPr>
                <w:rFonts w:ascii="Times New Roman" w:hAnsi="Times New Roman"/>
                <w:sz w:val="24"/>
                <w:szCs w:val="24"/>
              </w:rPr>
              <w:t xml:space="preserve"> i Kommissionens delegerede forordning (EU) nr. 241/2014 af 7. januar 2014</w:t>
            </w:r>
            <w:r w:rsidRPr="00270255">
              <w:rPr>
                <w:rFonts w:ascii="Times New Roman" w:hAnsi="Times New Roman"/>
                <w:sz w:val="24"/>
                <w:szCs w:val="24"/>
              </w:rPr>
              <w:t>.</w:t>
            </w:r>
          </w:p>
          <w:p w14:paraId="28712EFB" w14:textId="77777777" w:rsidR="000C1616" w:rsidRPr="00270255" w:rsidRDefault="000C1616" w:rsidP="00246E41">
            <w:pPr>
              <w:pStyle w:val="Brdtekst"/>
              <w:ind w:left="1310" w:hanging="6"/>
              <w:rPr>
                <w:rFonts w:ascii="Times New Roman" w:hAnsi="Times New Roman"/>
                <w:sz w:val="24"/>
                <w:szCs w:val="24"/>
              </w:rPr>
            </w:pPr>
          </w:p>
        </w:tc>
      </w:tr>
      <w:tr w:rsidR="00532ADA" w:rsidRPr="00270255" w14:paraId="3052E780" w14:textId="77777777" w:rsidTr="00A11CE3">
        <w:tc>
          <w:tcPr>
            <w:tcW w:w="3544" w:type="dxa"/>
          </w:tcPr>
          <w:p w14:paraId="1B789583" w14:textId="77777777" w:rsidR="00532ADA" w:rsidRPr="00270255" w:rsidRDefault="00532ADA" w:rsidP="00A11CE3">
            <w:pPr>
              <w:rPr>
                <w:b/>
                <w:u w:val="single"/>
              </w:rPr>
            </w:pPr>
            <w:r w:rsidRPr="00270255">
              <w:rPr>
                <w:b/>
                <w:u w:val="single"/>
              </w:rPr>
              <w:lastRenderedPageBreak/>
              <w:t xml:space="preserve">Spørgsmål </w:t>
            </w:r>
            <w:r w:rsidR="00B54D5C">
              <w:rPr>
                <w:b/>
                <w:u w:val="single"/>
              </w:rPr>
              <w:t>4</w:t>
            </w:r>
            <w:r w:rsidR="00C5143F" w:rsidRPr="00270255">
              <w:rPr>
                <w:b/>
                <w:u w:val="single"/>
              </w:rPr>
              <w:t>.1</w:t>
            </w:r>
            <w:r w:rsidRPr="00270255">
              <w:rPr>
                <w:b/>
                <w:u w:val="single"/>
              </w:rPr>
              <w:t>:</w:t>
            </w:r>
          </w:p>
          <w:p w14:paraId="7C0C7084" w14:textId="77777777" w:rsidR="00D116A2" w:rsidRPr="00270255" w:rsidRDefault="00532ADA" w:rsidP="00D116A2">
            <w:r w:rsidRPr="00270255">
              <w:t xml:space="preserve">Har instituttet taget højde for </w:t>
            </w:r>
            <w:r w:rsidR="007B27BA" w:rsidRPr="00270255">
              <w:t xml:space="preserve">ovenstående </w:t>
            </w:r>
            <w:r w:rsidRPr="00270255">
              <w:t>bestemmelser</w:t>
            </w:r>
            <w:r w:rsidR="007B27BA" w:rsidRPr="00270255">
              <w:t xml:space="preserve"> i</w:t>
            </w:r>
            <w:r w:rsidRPr="00270255">
              <w:t xml:space="preserve"> artikel 8-9 om indirekte finansiering i sin </w:t>
            </w:r>
            <w:r w:rsidR="000B1FD1">
              <w:t>procedure</w:t>
            </w:r>
            <w:r w:rsidRPr="00270255">
              <w:t xml:space="preserve"> for opgørelse af kapitalgrundlaget</w:t>
            </w:r>
            <w:r w:rsidR="00D116A2" w:rsidRPr="00270255">
              <w:t>?</w:t>
            </w:r>
            <w:r w:rsidR="0095757C" w:rsidRPr="00270255">
              <w:t xml:space="preserve"> </w:t>
            </w:r>
          </w:p>
          <w:p w14:paraId="0445856C" w14:textId="77777777" w:rsidR="00532ADA" w:rsidRPr="00270255" w:rsidRDefault="00532ADA" w:rsidP="00D116A2">
            <w:r w:rsidRPr="00270255">
              <w:t xml:space="preserve"> </w:t>
            </w:r>
          </w:p>
        </w:tc>
        <w:tc>
          <w:tcPr>
            <w:tcW w:w="851" w:type="dxa"/>
          </w:tcPr>
          <w:p w14:paraId="7A1C314F" w14:textId="77777777" w:rsidR="00532ADA" w:rsidRPr="00270255" w:rsidRDefault="00532ADA" w:rsidP="00A11CE3">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269CA2EE" w14:textId="77777777" w:rsidR="00532ADA" w:rsidRPr="00270255" w:rsidRDefault="00532ADA" w:rsidP="00A11CE3"/>
        </w:tc>
        <w:tc>
          <w:tcPr>
            <w:tcW w:w="6946" w:type="dxa"/>
          </w:tcPr>
          <w:p w14:paraId="6223486B" w14:textId="77777777" w:rsidR="0049685A" w:rsidRPr="00270255" w:rsidRDefault="0049685A" w:rsidP="0049685A">
            <w:pPr>
              <w:snapToGrid w:val="0"/>
            </w:pPr>
            <w:r w:rsidRPr="00270255">
              <w:t>Redegørelse</w:t>
            </w:r>
          </w:p>
          <w:p w14:paraId="7E9E2767" w14:textId="77777777" w:rsidR="0049685A" w:rsidRPr="00270255" w:rsidRDefault="0049685A" w:rsidP="0049685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145AA843" w14:textId="77777777" w:rsidR="000C1616" w:rsidRPr="00270255" w:rsidRDefault="000C1616" w:rsidP="001F258D">
            <w:pPr>
              <w:snapToGrid w:val="0"/>
            </w:pPr>
          </w:p>
        </w:tc>
        <w:tc>
          <w:tcPr>
            <w:tcW w:w="2268" w:type="dxa"/>
          </w:tcPr>
          <w:p w14:paraId="74F5BFF8" w14:textId="77777777" w:rsidR="00532ADA" w:rsidRPr="00270255" w:rsidRDefault="00532ADA" w:rsidP="00A11CE3">
            <w:pPr>
              <w:snapToGrid w:val="0"/>
            </w:pPr>
            <w:r w:rsidRPr="00270255">
              <w:t>Forbeholdt Finanstilsynet</w:t>
            </w:r>
          </w:p>
          <w:p w14:paraId="12D27EB0" w14:textId="77777777" w:rsidR="00532ADA" w:rsidRPr="00270255" w:rsidRDefault="00532ADA" w:rsidP="00A11CE3">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7787F0DD" w14:textId="77777777" w:rsidR="001D498A" w:rsidRDefault="001D498A"/>
    <w:p w14:paraId="3530468C" w14:textId="77777777" w:rsidR="001D498A" w:rsidRDefault="001D498A">
      <w:r>
        <w:br w:type="page"/>
      </w:r>
    </w:p>
    <w:p w14:paraId="180F30DE" w14:textId="77777777" w:rsidR="005036AC" w:rsidRDefault="005036AC"/>
    <w:p w14:paraId="19D27D7B" w14:textId="77777777" w:rsidR="005036AC" w:rsidRDefault="005036AC"/>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A356A2" w:rsidRPr="00270255" w14:paraId="36F78E04" w14:textId="77777777" w:rsidTr="00A81CA0">
        <w:tc>
          <w:tcPr>
            <w:tcW w:w="13609" w:type="dxa"/>
            <w:gridSpan w:val="4"/>
          </w:tcPr>
          <w:p w14:paraId="3B24A071" w14:textId="77777777" w:rsidR="00A356A2" w:rsidRPr="00270255" w:rsidRDefault="00A356A2" w:rsidP="00A470FB">
            <w:pPr>
              <w:pStyle w:val="Overskrift1"/>
              <w:numPr>
                <w:ilvl w:val="0"/>
                <w:numId w:val="2"/>
              </w:numPr>
              <w:rPr>
                <w:rFonts w:cs="Times New Roman"/>
                <w:szCs w:val="24"/>
              </w:rPr>
            </w:pPr>
            <w:r w:rsidRPr="00270255">
              <w:rPr>
                <w:rFonts w:cs="Times New Roman"/>
                <w:szCs w:val="24"/>
              </w:rPr>
              <w:t>Sikring af pengestrømme (cash flow hedges) og ændringer i værdien af egne forpligtelser</w:t>
            </w:r>
          </w:p>
          <w:p w14:paraId="072BD0D7" w14:textId="77777777" w:rsidR="00D116A2" w:rsidRPr="00270255" w:rsidRDefault="00D116A2" w:rsidP="00D116A2"/>
        </w:tc>
      </w:tr>
      <w:tr w:rsidR="00A356A2" w:rsidRPr="00270255" w14:paraId="0318B9D2" w14:textId="77777777" w:rsidTr="00A81CA0">
        <w:tc>
          <w:tcPr>
            <w:tcW w:w="13609" w:type="dxa"/>
            <w:gridSpan w:val="4"/>
          </w:tcPr>
          <w:p w14:paraId="520FF4FC" w14:textId="77777777" w:rsidR="00C66B65" w:rsidRDefault="00C66B65" w:rsidP="00A356A2">
            <w:pPr>
              <w:pStyle w:val="Brdtekst"/>
              <w:rPr>
                <w:rFonts w:ascii="Times New Roman" w:hAnsi="Times New Roman"/>
                <w:sz w:val="24"/>
                <w:szCs w:val="24"/>
              </w:rPr>
            </w:pPr>
          </w:p>
          <w:p w14:paraId="493656F7" w14:textId="77777777" w:rsidR="00A356A2" w:rsidRPr="00270255" w:rsidRDefault="00A356A2" w:rsidP="00A356A2">
            <w:pPr>
              <w:pStyle w:val="Brdtekst"/>
              <w:rPr>
                <w:rFonts w:ascii="Times New Roman" w:hAnsi="Times New Roman"/>
                <w:sz w:val="24"/>
                <w:szCs w:val="24"/>
              </w:rPr>
            </w:pPr>
            <w:r w:rsidRPr="00270255">
              <w:rPr>
                <w:rFonts w:ascii="Times New Roman" w:hAnsi="Times New Roman"/>
                <w:sz w:val="24"/>
                <w:szCs w:val="24"/>
              </w:rPr>
              <w:t xml:space="preserve">Ifølge CRR, artikel 33, stk. 1, må institutterne ikke medtage følgende poster i kapitalgrundlaget: </w:t>
            </w:r>
          </w:p>
          <w:p w14:paraId="44B31F64" w14:textId="77777777" w:rsidR="00A356A2" w:rsidRPr="00270255" w:rsidRDefault="00A356A2" w:rsidP="00A356A2">
            <w:pPr>
              <w:pStyle w:val="Brdtekst"/>
              <w:rPr>
                <w:rFonts w:ascii="Times New Roman" w:hAnsi="Times New Roman"/>
                <w:sz w:val="24"/>
                <w:szCs w:val="24"/>
              </w:rPr>
            </w:pPr>
            <w:r w:rsidRPr="00270255">
              <w:rPr>
                <w:rFonts w:ascii="Times New Roman" w:hAnsi="Times New Roman"/>
                <w:sz w:val="24"/>
                <w:szCs w:val="24"/>
              </w:rPr>
              <w:t xml:space="preserve">a) dagsværdireserver i relation til gevinst eller tab på sikring af pengestrømme for finansielle instrumenter, som ikke er værdiansat til dagsværdi, herunder forventede pengestrømme </w:t>
            </w:r>
          </w:p>
          <w:p w14:paraId="26C81B1E" w14:textId="77777777" w:rsidR="00A356A2" w:rsidRPr="00270255" w:rsidRDefault="00A356A2" w:rsidP="00A356A2">
            <w:pPr>
              <w:pStyle w:val="Brdtekst"/>
              <w:rPr>
                <w:rFonts w:ascii="Times New Roman" w:hAnsi="Times New Roman"/>
                <w:sz w:val="24"/>
                <w:szCs w:val="24"/>
              </w:rPr>
            </w:pPr>
            <w:r w:rsidRPr="00270255">
              <w:rPr>
                <w:rFonts w:ascii="Times New Roman" w:hAnsi="Times New Roman"/>
                <w:sz w:val="24"/>
                <w:szCs w:val="24"/>
              </w:rPr>
              <w:t xml:space="preserve">b) gevinster eller tab på instituttets forpligtelser værdiansat til dagsværdi, som skyldes ændringer i instituttets egen kreditsituation </w:t>
            </w:r>
          </w:p>
          <w:p w14:paraId="65C514EE" w14:textId="7380E5E5" w:rsidR="00A356A2" w:rsidRPr="00270255" w:rsidRDefault="00A356A2" w:rsidP="00A356A2">
            <w:pPr>
              <w:pStyle w:val="Brdtekst"/>
              <w:rPr>
                <w:rFonts w:ascii="Times New Roman" w:hAnsi="Times New Roman"/>
                <w:sz w:val="24"/>
                <w:szCs w:val="24"/>
              </w:rPr>
            </w:pPr>
            <w:r w:rsidRPr="00270255">
              <w:rPr>
                <w:rFonts w:ascii="Times New Roman" w:hAnsi="Times New Roman"/>
                <w:sz w:val="24"/>
                <w:szCs w:val="24"/>
              </w:rPr>
              <w:t>c) gevinster og tab, der skyldes ændringer i instituttets egen kredit</w:t>
            </w:r>
            <w:r w:rsidR="00221197">
              <w:rPr>
                <w:rFonts w:ascii="Times New Roman" w:hAnsi="Times New Roman"/>
                <w:sz w:val="24"/>
                <w:szCs w:val="24"/>
              </w:rPr>
              <w:t xml:space="preserve">risiko, </w:t>
            </w:r>
            <w:r w:rsidR="00221197" w:rsidRPr="00270255">
              <w:rPr>
                <w:rFonts w:ascii="Times New Roman" w:hAnsi="Times New Roman"/>
                <w:sz w:val="24"/>
                <w:szCs w:val="24"/>
              </w:rPr>
              <w:t>værdiansat til dagsværdi i forbindelse med instituttets afledte finansielle forpligtelser</w:t>
            </w:r>
            <w:r w:rsidRPr="00270255">
              <w:rPr>
                <w:rFonts w:ascii="Times New Roman" w:hAnsi="Times New Roman"/>
                <w:sz w:val="24"/>
                <w:szCs w:val="24"/>
              </w:rPr>
              <w:t xml:space="preserve">. </w:t>
            </w:r>
          </w:p>
          <w:p w14:paraId="54C0CFCB" w14:textId="77777777" w:rsidR="004F7201" w:rsidRPr="00270255" w:rsidRDefault="004F7201" w:rsidP="00A356A2">
            <w:pPr>
              <w:pStyle w:val="Brdtekst"/>
              <w:rPr>
                <w:rFonts w:ascii="Times New Roman" w:hAnsi="Times New Roman"/>
                <w:sz w:val="24"/>
                <w:szCs w:val="24"/>
              </w:rPr>
            </w:pPr>
          </w:p>
          <w:p w14:paraId="03F076B7" w14:textId="77777777" w:rsidR="004F7201" w:rsidRPr="00270255" w:rsidRDefault="004F7201" w:rsidP="004F7201">
            <w:pPr>
              <w:pStyle w:val="Brdtekst"/>
              <w:rPr>
                <w:rFonts w:ascii="Times New Roman" w:hAnsi="Times New Roman"/>
                <w:sz w:val="24"/>
                <w:szCs w:val="24"/>
              </w:rPr>
            </w:pPr>
            <w:r w:rsidRPr="00270255">
              <w:rPr>
                <w:rFonts w:ascii="Times New Roman" w:hAnsi="Times New Roman"/>
                <w:sz w:val="24"/>
                <w:szCs w:val="24"/>
              </w:rPr>
              <w:t>Stk. 2. Med henblik på anvendelsen af stk. 1, litra c), modregner institutterne ikke gevinster og tab værdiansat til dagsværdi, der skyldes instituttets egen kreditrisiko, i de gevinster eller tab, der skyldes deres modparters kreditrisiko.</w:t>
            </w:r>
          </w:p>
          <w:p w14:paraId="3B070766" w14:textId="77777777" w:rsidR="004F7201" w:rsidRPr="00270255" w:rsidRDefault="004F7201" w:rsidP="004F7201">
            <w:pPr>
              <w:pStyle w:val="Brdtekst"/>
              <w:rPr>
                <w:rFonts w:ascii="Times New Roman" w:hAnsi="Times New Roman"/>
                <w:sz w:val="24"/>
                <w:szCs w:val="24"/>
              </w:rPr>
            </w:pPr>
            <w:r w:rsidRPr="00270255">
              <w:rPr>
                <w:rFonts w:ascii="Times New Roman" w:hAnsi="Times New Roman"/>
                <w:sz w:val="24"/>
                <w:szCs w:val="24"/>
              </w:rPr>
              <w:t xml:space="preserve"> </w:t>
            </w:r>
          </w:p>
          <w:p w14:paraId="17B3A162" w14:textId="77777777" w:rsidR="004F7201" w:rsidRPr="00270255" w:rsidRDefault="004F7201" w:rsidP="004F7201">
            <w:pPr>
              <w:pStyle w:val="Brdtekst"/>
              <w:rPr>
                <w:rFonts w:ascii="Times New Roman" w:hAnsi="Times New Roman"/>
                <w:sz w:val="24"/>
                <w:szCs w:val="24"/>
              </w:rPr>
            </w:pPr>
            <w:r w:rsidRPr="00270255">
              <w:rPr>
                <w:rFonts w:ascii="Times New Roman" w:hAnsi="Times New Roman"/>
                <w:sz w:val="24"/>
                <w:szCs w:val="24"/>
              </w:rPr>
              <w:t xml:space="preserve">Stk. 3. Med forbehold af stk. 1, litra b), kan institutter medtage gevinster og tab på deres forpligtelser i kapitalgrundlaget, når samtlige følgende betingelser er opfyldt: </w:t>
            </w:r>
          </w:p>
          <w:p w14:paraId="6142F175" w14:textId="77777777" w:rsidR="004F7201" w:rsidRPr="00270255" w:rsidRDefault="004F7201" w:rsidP="00200B89">
            <w:pPr>
              <w:pStyle w:val="Brdtekst"/>
              <w:numPr>
                <w:ilvl w:val="1"/>
                <w:numId w:val="15"/>
              </w:numPr>
              <w:ind w:left="885"/>
              <w:rPr>
                <w:rFonts w:ascii="Times New Roman" w:hAnsi="Times New Roman"/>
                <w:sz w:val="24"/>
                <w:szCs w:val="24"/>
              </w:rPr>
            </w:pPr>
            <w:r w:rsidRPr="00270255">
              <w:rPr>
                <w:rFonts w:ascii="Times New Roman" w:hAnsi="Times New Roman"/>
                <w:sz w:val="24"/>
                <w:szCs w:val="24"/>
              </w:rPr>
              <w:t xml:space="preserve">Forpligtelserne er i form af obligationer som omhandlet i artikel 52, stk. 4, i direktiv 2009/65/EF. </w:t>
            </w:r>
          </w:p>
          <w:p w14:paraId="603612EF" w14:textId="77777777" w:rsidR="004F7201" w:rsidRPr="00270255" w:rsidRDefault="004F7201" w:rsidP="00200B89">
            <w:pPr>
              <w:pStyle w:val="Brdtekst"/>
              <w:numPr>
                <w:ilvl w:val="1"/>
                <w:numId w:val="15"/>
              </w:numPr>
              <w:ind w:left="885"/>
              <w:rPr>
                <w:rFonts w:ascii="Times New Roman" w:hAnsi="Times New Roman"/>
                <w:sz w:val="24"/>
                <w:szCs w:val="24"/>
              </w:rPr>
            </w:pPr>
            <w:r w:rsidRPr="00270255">
              <w:rPr>
                <w:rFonts w:ascii="Times New Roman" w:hAnsi="Times New Roman"/>
                <w:sz w:val="24"/>
                <w:szCs w:val="24"/>
              </w:rPr>
              <w:t xml:space="preserve">Ændringerne i værdien af instituttets aktiver og passiver skyldes de samme ændringer i instituttets egen kreditsituation. </w:t>
            </w:r>
          </w:p>
          <w:p w14:paraId="15813737" w14:textId="77777777" w:rsidR="00930977" w:rsidRPr="00270255" w:rsidRDefault="004F7201" w:rsidP="00200B89">
            <w:pPr>
              <w:pStyle w:val="Brdtekst"/>
              <w:numPr>
                <w:ilvl w:val="1"/>
                <w:numId w:val="15"/>
              </w:numPr>
              <w:ind w:left="885"/>
              <w:rPr>
                <w:rFonts w:ascii="Times New Roman" w:hAnsi="Times New Roman"/>
                <w:sz w:val="24"/>
                <w:szCs w:val="24"/>
              </w:rPr>
            </w:pPr>
            <w:r w:rsidRPr="00270255">
              <w:rPr>
                <w:rFonts w:ascii="Times New Roman" w:hAnsi="Times New Roman"/>
                <w:sz w:val="24"/>
                <w:szCs w:val="24"/>
              </w:rPr>
              <w:t>Der er en snæver sammenhæng mellem værdien af de i litra a) nævnte obligationer og værdien af instituttets aktiver.</w:t>
            </w:r>
          </w:p>
          <w:p w14:paraId="192FEB09" w14:textId="77777777" w:rsidR="004F7201" w:rsidRPr="00270255" w:rsidRDefault="004F7201" w:rsidP="00200B89">
            <w:pPr>
              <w:pStyle w:val="Brdtekst"/>
              <w:numPr>
                <w:ilvl w:val="1"/>
                <w:numId w:val="15"/>
              </w:numPr>
              <w:ind w:left="885"/>
              <w:rPr>
                <w:rFonts w:ascii="Times New Roman" w:hAnsi="Times New Roman"/>
                <w:sz w:val="24"/>
                <w:szCs w:val="24"/>
              </w:rPr>
            </w:pPr>
            <w:r w:rsidRPr="00270255">
              <w:rPr>
                <w:rFonts w:ascii="Times New Roman" w:hAnsi="Times New Roman"/>
                <w:sz w:val="24"/>
                <w:szCs w:val="24"/>
              </w:rPr>
              <w:t>Det er muligt at indfri realkreditlån ved at tilbagekøbe de obligationer, der finansierer realkreditlånene, til markedsværdi eller nominel værdi.</w:t>
            </w:r>
          </w:p>
          <w:p w14:paraId="5E5878A2" w14:textId="77777777" w:rsidR="00A356A2" w:rsidRPr="00270255" w:rsidRDefault="00A356A2" w:rsidP="00A81CA0">
            <w:pPr>
              <w:snapToGrid w:val="0"/>
            </w:pPr>
          </w:p>
        </w:tc>
      </w:tr>
      <w:tr w:rsidR="00A356A2" w:rsidRPr="00270255" w14:paraId="50C16FC7" w14:textId="77777777" w:rsidTr="00A81CA0">
        <w:tc>
          <w:tcPr>
            <w:tcW w:w="3544" w:type="dxa"/>
          </w:tcPr>
          <w:p w14:paraId="669D4E08" w14:textId="77777777" w:rsidR="00A356A2" w:rsidRPr="00270255" w:rsidRDefault="00A356A2" w:rsidP="00A81CA0">
            <w:pPr>
              <w:rPr>
                <w:b/>
                <w:u w:val="single"/>
              </w:rPr>
            </w:pPr>
            <w:r w:rsidRPr="00270255">
              <w:rPr>
                <w:b/>
                <w:u w:val="single"/>
              </w:rPr>
              <w:t xml:space="preserve">Spørgsmål </w:t>
            </w:r>
            <w:r w:rsidR="00B54D5C">
              <w:rPr>
                <w:b/>
                <w:u w:val="single"/>
              </w:rPr>
              <w:t>5</w:t>
            </w:r>
            <w:r w:rsidRPr="00270255">
              <w:rPr>
                <w:b/>
                <w:u w:val="single"/>
              </w:rPr>
              <w:t>.1:</w:t>
            </w:r>
          </w:p>
          <w:p w14:paraId="3BC77136" w14:textId="77777777" w:rsidR="00D116A2" w:rsidRPr="00270255" w:rsidRDefault="004F7201" w:rsidP="007B27BA">
            <w:r w:rsidRPr="00270255">
              <w:t>Har instituttet reguleret for de nævnte poster i CRR, art. 33?</w:t>
            </w:r>
          </w:p>
          <w:p w14:paraId="6D4EE919" w14:textId="77777777" w:rsidR="00A356A2" w:rsidRPr="00270255" w:rsidRDefault="00A356A2" w:rsidP="007B27BA">
            <w:r w:rsidRPr="00270255">
              <w:t xml:space="preserve"> </w:t>
            </w:r>
          </w:p>
        </w:tc>
        <w:tc>
          <w:tcPr>
            <w:tcW w:w="851" w:type="dxa"/>
          </w:tcPr>
          <w:p w14:paraId="0751650A" w14:textId="77777777" w:rsidR="00A356A2" w:rsidRPr="00270255" w:rsidRDefault="00A356A2"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589DD4F9" w14:textId="77777777" w:rsidR="00A356A2" w:rsidRPr="00270255" w:rsidRDefault="00A356A2" w:rsidP="00A81CA0"/>
        </w:tc>
        <w:tc>
          <w:tcPr>
            <w:tcW w:w="6946" w:type="dxa"/>
          </w:tcPr>
          <w:p w14:paraId="3A0031F8" w14:textId="77777777" w:rsidR="00A356A2" w:rsidRPr="00270255" w:rsidRDefault="00A356A2" w:rsidP="00A81CA0">
            <w:pPr>
              <w:snapToGrid w:val="0"/>
            </w:pPr>
            <w:r w:rsidRPr="00270255">
              <w:t>Redegørelse</w:t>
            </w:r>
          </w:p>
          <w:p w14:paraId="3489C4F2" w14:textId="77777777" w:rsidR="00A356A2" w:rsidRPr="00270255" w:rsidRDefault="00A356A2"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4554731" w14:textId="77777777" w:rsidR="00A356A2" w:rsidRPr="00270255" w:rsidRDefault="00A356A2" w:rsidP="00A81CA0">
            <w:pPr>
              <w:snapToGrid w:val="0"/>
            </w:pPr>
          </w:p>
        </w:tc>
        <w:tc>
          <w:tcPr>
            <w:tcW w:w="2268" w:type="dxa"/>
          </w:tcPr>
          <w:p w14:paraId="7698DD04" w14:textId="77777777" w:rsidR="00A356A2" w:rsidRPr="00270255" w:rsidRDefault="00A356A2" w:rsidP="00A81CA0">
            <w:pPr>
              <w:snapToGrid w:val="0"/>
            </w:pPr>
            <w:r w:rsidRPr="00270255">
              <w:t>Forbeholdt Finanstilsynet</w:t>
            </w:r>
          </w:p>
          <w:p w14:paraId="6163E7D3" w14:textId="77777777" w:rsidR="00A356A2" w:rsidRPr="00270255" w:rsidRDefault="00A356A2"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27EA153D" w14:textId="77777777" w:rsidR="004F7201" w:rsidRDefault="004F7201" w:rsidP="00083E63"/>
    <w:p w14:paraId="5A3D86DF" w14:textId="77777777" w:rsidR="005036AC" w:rsidRDefault="005036AC">
      <w:r>
        <w:br w:type="page"/>
      </w:r>
    </w:p>
    <w:p w14:paraId="056BFE52" w14:textId="77777777" w:rsidR="005036AC" w:rsidRDefault="005036AC"/>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4F7201" w:rsidRPr="00270255" w14:paraId="214D38E2" w14:textId="77777777" w:rsidTr="00A81CA0">
        <w:tc>
          <w:tcPr>
            <w:tcW w:w="13609" w:type="dxa"/>
            <w:gridSpan w:val="4"/>
          </w:tcPr>
          <w:p w14:paraId="1B083315" w14:textId="77777777" w:rsidR="004F7201" w:rsidRPr="00270255" w:rsidRDefault="004F7201" w:rsidP="00A470FB">
            <w:pPr>
              <w:pStyle w:val="Overskrift1"/>
              <w:numPr>
                <w:ilvl w:val="0"/>
                <w:numId w:val="2"/>
              </w:numPr>
              <w:rPr>
                <w:rFonts w:cs="Times New Roman"/>
                <w:szCs w:val="24"/>
              </w:rPr>
            </w:pPr>
            <w:r w:rsidRPr="00270255">
              <w:rPr>
                <w:rFonts w:cs="Times New Roman"/>
                <w:szCs w:val="24"/>
              </w:rPr>
              <w:t>Fradrag i egentlige kernekapitalposter</w:t>
            </w:r>
          </w:p>
          <w:p w14:paraId="249C7550" w14:textId="77777777" w:rsidR="00D116A2" w:rsidRPr="00270255" w:rsidRDefault="00D116A2" w:rsidP="00D116A2"/>
        </w:tc>
      </w:tr>
      <w:tr w:rsidR="004F7201" w:rsidRPr="00270255" w14:paraId="0C64593D" w14:textId="77777777" w:rsidTr="00A81CA0">
        <w:tc>
          <w:tcPr>
            <w:tcW w:w="13609" w:type="dxa"/>
            <w:gridSpan w:val="4"/>
          </w:tcPr>
          <w:p w14:paraId="2A8C0022" w14:textId="77777777" w:rsidR="00DB0A06" w:rsidRDefault="00DB0A06" w:rsidP="005C09AB">
            <w:pPr>
              <w:snapToGrid w:val="0"/>
            </w:pPr>
          </w:p>
          <w:p w14:paraId="57EDDD82" w14:textId="330089F6" w:rsidR="004F7201" w:rsidRPr="00270255" w:rsidRDefault="005C09AB" w:rsidP="005C09AB">
            <w:pPr>
              <w:snapToGrid w:val="0"/>
            </w:pPr>
            <w:r w:rsidRPr="00270255">
              <w:t xml:space="preserve">CRR, artikel 36 lister </w:t>
            </w:r>
            <w:r w:rsidR="001F258D" w:rsidRPr="00270255">
              <w:t>i litra a-</w:t>
            </w:r>
            <w:r w:rsidR="000B6F26">
              <w:t>n</w:t>
            </w:r>
            <w:r w:rsidR="00B9678E" w:rsidRPr="00270255">
              <w:t xml:space="preserve"> </w:t>
            </w:r>
            <w:r w:rsidRPr="00270255">
              <w:t>en række fradrag, som institutterne skal foretage i egentlige kernekapitalposter.</w:t>
            </w:r>
          </w:p>
          <w:p w14:paraId="5B57B72A" w14:textId="77777777" w:rsidR="005C09AB" w:rsidRPr="00270255" w:rsidRDefault="005C09AB" w:rsidP="005C09AB">
            <w:pPr>
              <w:snapToGrid w:val="0"/>
            </w:pPr>
          </w:p>
          <w:p w14:paraId="4F1AB886" w14:textId="77777777" w:rsidR="002904F8" w:rsidRPr="00270255" w:rsidRDefault="002904F8" w:rsidP="005C09AB">
            <w:pPr>
              <w:snapToGrid w:val="0"/>
            </w:pPr>
            <w:r w:rsidRPr="00270255">
              <w:t xml:space="preserve">Reglerne for fradrag er yderligere præciseret i </w:t>
            </w:r>
            <w:r w:rsidR="00C453BD">
              <w:t xml:space="preserve">CRR, artikel 37-49 samt i </w:t>
            </w:r>
            <w:r w:rsidR="00A8681E" w:rsidRPr="00270255">
              <w:t>forordning</w:t>
            </w:r>
            <w:r w:rsidR="00AF1BB3" w:rsidRPr="00270255">
              <w:t>en</w:t>
            </w:r>
            <w:r w:rsidR="00A8681E" w:rsidRPr="00270255">
              <w:t xml:space="preserve"> (EU) nr. 241/2014 af 7. januar 2014</w:t>
            </w:r>
            <w:r w:rsidR="00AF1BB3" w:rsidRPr="00270255">
              <w:t xml:space="preserve"> om kapitalgrundlagskrav</w:t>
            </w:r>
            <w:r w:rsidR="00A8681E" w:rsidRPr="00270255">
              <w:t xml:space="preserve">, artikel </w:t>
            </w:r>
            <w:r w:rsidR="00B75A62" w:rsidRPr="00270255">
              <w:t>13-19.</w:t>
            </w:r>
          </w:p>
          <w:p w14:paraId="4F25C698" w14:textId="77777777" w:rsidR="001F258D" w:rsidRPr="00270255" w:rsidRDefault="001F258D" w:rsidP="005C09AB">
            <w:pPr>
              <w:snapToGrid w:val="0"/>
            </w:pPr>
          </w:p>
          <w:p w14:paraId="77408DDB" w14:textId="77777777" w:rsidR="001F258D" w:rsidRDefault="001F258D" w:rsidP="005C09AB">
            <w:pPr>
              <w:snapToGrid w:val="0"/>
            </w:pPr>
            <w:r w:rsidRPr="00270255">
              <w:t>Nedenfor bedes instituttet angive, hvorvidt instituttet har fradrag af de respektive poster. Hvor fradragene ikke er relevante for instituttet bedes dette anført</w:t>
            </w:r>
          </w:p>
          <w:p w14:paraId="140674CC" w14:textId="77777777" w:rsidR="005C09AB" w:rsidRDefault="005C09AB" w:rsidP="002904F8">
            <w:pPr>
              <w:snapToGrid w:val="0"/>
            </w:pPr>
          </w:p>
          <w:p w14:paraId="61200733" w14:textId="77777777" w:rsidR="00113BE6" w:rsidRDefault="00113BE6" w:rsidP="002904F8">
            <w:pPr>
              <w:snapToGrid w:val="0"/>
            </w:pPr>
          </w:p>
          <w:p w14:paraId="41458804" w14:textId="77777777" w:rsidR="00113BE6" w:rsidRDefault="00113BE6" w:rsidP="002904F8">
            <w:pPr>
              <w:snapToGrid w:val="0"/>
            </w:pPr>
          </w:p>
          <w:p w14:paraId="453B3B72" w14:textId="4AFF5AA7" w:rsidR="00113BE6" w:rsidRPr="00270255" w:rsidRDefault="00113BE6" w:rsidP="002904F8">
            <w:pPr>
              <w:snapToGrid w:val="0"/>
            </w:pPr>
          </w:p>
        </w:tc>
      </w:tr>
      <w:tr w:rsidR="004F7201" w:rsidRPr="00270255" w14:paraId="4D0224BD" w14:textId="77777777" w:rsidTr="00A81CA0">
        <w:tc>
          <w:tcPr>
            <w:tcW w:w="3544" w:type="dxa"/>
          </w:tcPr>
          <w:p w14:paraId="00C01DF4" w14:textId="77777777" w:rsidR="001F258D" w:rsidRPr="00270255" w:rsidRDefault="001F258D" w:rsidP="001F258D">
            <w:pPr>
              <w:rPr>
                <w:b/>
                <w:u w:val="single"/>
              </w:rPr>
            </w:pPr>
            <w:r w:rsidRPr="00270255">
              <w:rPr>
                <w:b/>
                <w:u w:val="single"/>
              </w:rPr>
              <w:t xml:space="preserve">Spørgsmål </w:t>
            </w:r>
            <w:r w:rsidR="00B54D5C">
              <w:rPr>
                <w:b/>
                <w:u w:val="single"/>
              </w:rPr>
              <w:t>6</w:t>
            </w:r>
            <w:r w:rsidRPr="00270255">
              <w:rPr>
                <w:b/>
                <w:u w:val="single"/>
              </w:rPr>
              <w:t>.1:</w:t>
            </w:r>
          </w:p>
          <w:p w14:paraId="6549D43C" w14:textId="77777777" w:rsidR="004F7201" w:rsidRDefault="00E03CCA" w:rsidP="00E03CCA">
            <w:r w:rsidRPr="00270255">
              <w:t>Art. 36, l</w:t>
            </w:r>
            <w:r w:rsidR="001F258D" w:rsidRPr="00270255">
              <w:t xml:space="preserve">itra a - </w:t>
            </w:r>
            <w:r w:rsidR="005C09AB" w:rsidRPr="00270255">
              <w:t>Tab i det løbende regnskabsår</w:t>
            </w:r>
            <w:r w:rsidR="00C453BD">
              <w:t>?</w:t>
            </w:r>
          </w:p>
          <w:p w14:paraId="5C5FDD49" w14:textId="58B92914" w:rsidR="00DB0A06" w:rsidRDefault="00DB0A06" w:rsidP="00E03CCA"/>
          <w:p w14:paraId="5269D016" w14:textId="77777777" w:rsidR="00113BE6" w:rsidRDefault="00113BE6" w:rsidP="00E03CCA"/>
          <w:p w14:paraId="64B91681" w14:textId="77777777" w:rsidR="00DB0A06" w:rsidRPr="00270255" w:rsidRDefault="00DB0A06" w:rsidP="00E03CCA"/>
        </w:tc>
        <w:tc>
          <w:tcPr>
            <w:tcW w:w="851" w:type="dxa"/>
          </w:tcPr>
          <w:p w14:paraId="2BA13CAA" w14:textId="77777777" w:rsidR="004F7201" w:rsidRPr="00270255" w:rsidRDefault="004F7201"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63A10B84" w14:textId="77777777" w:rsidR="004F7201" w:rsidRPr="00270255" w:rsidRDefault="004F7201" w:rsidP="00A81CA0"/>
        </w:tc>
        <w:tc>
          <w:tcPr>
            <w:tcW w:w="6946" w:type="dxa"/>
          </w:tcPr>
          <w:p w14:paraId="3443A4EA" w14:textId="77777777" w:rsidR="004F7201" w:rsidRPr="00270255" w:rsidRDefault="004F7201" w:rsidP="00A81CA0">
            <w:pPr>
              <w:snapToGrid w:val="0"/>
            </w:pPr>
            <w:r w:rsidRPr="00270255">
              <w:t>Redegørelse</w:t>
            </w:r>
          </w:p>
          <w:p w14:paraId="221A764F" w14:textId="77777777" w:rsidR="004F7201" w:rsidRPr="00270255" w:rsidRDefault="004F720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C396B3F" w14:textId="77777777" w:rsidR="004F7201" w:rsidRPr="00270255" w:rsidRDefault="004F7201" w:rsidP="00A81CA0">
            <w:pPr>
              <w:snapToGrid w:val="0"/>
            </w:pPr>
          </w:p>
        </w:tc>
        <w:tc>
          <w:tcPr>
            <w:tcW w:w="2268" w:type="dxa"/>
          </w:tcPr>
          <w:p w14:paraId="71D432B7" w14:textId="77777777" w:rsidR="004F7201" w:rsidRPr="00270255" w:rsidRDefault="004F7201" w:rsidP="00A81CA0">
            <w:pPr>
              <w:snapToGrid w:val="0"/>
            </w:pPr>
            <w:r w:rsidRPr="00270255">
              <w:t>Forbeholdt Finanstilsynet</w:t>
            </w:r>
          </w:p>
          <w:p w14:paraId="74AA86CC" w14:textId="77777777" w:rsidR="004F7201" w:rsidRPr="00270255" w:rsidRDefault="004F720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4F7201" w:rsidRPr="00270255" w14:paraId="7A5CA5B4" w14:textId="77777777" w:rsidTr="00A81CA0">
        <w:tc>
          <w:tcPr>
            <w:tcW w:w="3544" w:type="dxa"/>
          </w:tcPr>
          <w:p w14:paraId="66483E66" w14:textId="77777777" w:rsidR="001F258D" w:rsidRPr="00270255" w:rsidRDefault="001F258D" w:rsidP="001F258D">
            <w:pPr>
              <w:rPr>
                <w:b/>
                <w:u w:val="single"/>
              </w:rPr>
            </w:pPr>
            <w:r w:rsidRPr="00270255">
              <w:rPr>
                <w:b/>
                <w:u w:val="single"/>
              </w:rPr>
              <w:t xml:space="preserve">Spørgsmål </w:t>
            </w:r>
            <w:r w:rsidR="00B54D5C">
              <w:rPr>
                <w:b/>
                <w:u w:val="single"/>
              </w:rPr>
              <w:t>6</w:t>
            </w:r>
            <w:r w:rsidRPr="00270255">
              <w:rPr>
                <w:b/>
                <w:u w:val="single"/>
              </w:rPr>
              <w:t>.</w:t>
            </w:r>
            <w:r w:rsidR="00FD47F8" w:rsidRPr="00270255">
              <w:rPr>
                <w:b/>
                <w:u w:val="single"/>
              </w:rPr>
              <w:t>2</w:t>
            </w:r>
            <w:r w:rsidRPr="00270255">
              <w:rPr>
                <w:b/>
                <w:u w:val="single"/>
              </w:rPr>
              <w:t>:</w:t>
            </w:r>
          </w:p>
          <w:p w14:paraId="7C8EC3CA" w14:textId="77777777" w:rsidR="004F7201" w:rsidRPr="00270255" w:rsidRDefault="00E03CCA" w:rsidP="00070851">
            <w:r w:rsidRPr="00270255">
              <w:t>Art. 36, l</w:t>
            </w:r>
            <w:r w:rsidR="001F258D" w:rsidRPr="00270255">
              <w:t xml:space="preserve">itra b - </w:t>
            </w:r>
            <w:r w:rsidR="005C09AB" w:rsidRPr="00270255">
              <w:t>Immaterielle aktiver</w:t>
            </w:r>
            <w:r w:rsidR="000B6F26">
              <w:t xml:space="preserve"> </w:t>
            </w:r>
            <w:r w:rsidR="000B6F26" w:rsidRPr="00270255">
              <w:t>i</w:t>
            </w:r>
            <w:r w:rsidR="00B75A62" w:rsidRPr="00270255">
              <w:t xml:space="preserve"> henhold til artikel 37</w:t>
            </w:r>
            <w:r w:rsidR="00C453BD">
              <w:t>?</w:t>
            </w:r>
          </w:p>
          <w:p w14:paraId="0BFA1C70" w14:textId="1724A930" w:rsidR="00D116A2" w:rsidRDefault="00D116A2" w:rsidP="00070851"/>
          <w:p w14:paraId="747B6436" w14:textId="77777777" w:rsidR="00113BE6" w:rsidRDefault="00113BE6" w:rsidP="00070851"/>
          <w:p w14:paraId="1521B880" w14:textId="77777777" w:rsidR="00DB0A06" w:rsidRPr="00270255" w:rsidRDefault="00DB0A06" w:rsidP="00070851"/>
        </w:tc>
        <w:tc>
          <w:tcPr>
            <w:tcW w:w="851" w:type="dxa"/>
          </w:tcPr>
          <w:p w14:paraId="49AFC8BD" w14:textId="77777777" w:rsidR="004F7201" w:rsidRPr="00270255" w:rsidRDefault="004F7201"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7B4C403" w14:textId="77777777" w:rsidR="004F7201" w:rsidRPr="00270255" w:rsidRDefault="004F7201" w:rsidP="00A81CA0"/>
        </w:tc>
        <w:tc>
          <w:tcPr>
            <w:tcW w:w="6946" w:type="dxa"/>
          </w:tcPr>
          <w:p w14:paraId="6CD0A09F" w14:textId="77777777" w:rsidR="004F7201" w:rsidRPr="00270255" w:rsidRDefault="004F7201" w:rsidP="00A81CA0">
            <w:pPr>
              <w:snapToGrid w:val="0"/>
            </w:pPr>
            <w:r w:rsidRPr="00270255">
              <w:t>Redegørelse</w:t>
            </w:r>
          </w:p>
          <w:p w14:paraId="1AAEE595" w14:textId="77777777" w:rsidR="004F7201" w:rsidRPr="00270255" w:rsidRDefault="004F720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42AA354F" w14:textId="77777777" w:rsidR="004F7201" w:rsidRPr="00270255" w:rsidRDefault="004F7201" w:rsidP="00A81CA0">
            <w:pPr>
              <w:snapToGrid w:val="0"/>
            </w:pPr>
          </w:p>
        </w:tc>
        <w:tc>
          <w:tcPr>
            <w:tcW w:w="2268" w:type="dxa"/>
          </w:tcPr>
          <w:p w14:paraId="16CBE9AC" w14:textId="77777777" w:rsidR="004F7201" w:rsidRPr="00270255" w:rsidRDefault="004F7201" w:rsidP="00A81CA0">
            <w:pPr>
              <w:snapToGrid w:val="0"/>
            </w:pPr>
            <w:r w:rsidRPr="00270255">
              <w:t>Forbeholdt Finanstilsynet</w:t>
            </w:r>
          </w:p>
          <w:p w14:paraId="27D03A63" w14:textId="77777777" w:rsidR="004F7201" w:rsidRPr="00270255" w:rsidRDefault="004F720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C09AB" w:rsidRPr="00270255" w14:paraId="18156084" w14:textId="77777777" w:rsidTr="00A81CA0">
        <w:tc>
          <w:tcPr>
            <w:tcW w:w="3544" w:type="dxa"/>
          </w:tcPr>
          <w:p w14:paraId="4F4DDE01" w14:textId="77777777" w:rsidR="00AF1BB3" w:rsidRPr="00270255" w:rsidRDefault="00AF1BB3" w:rsidP="00AF1BB3">
            <w:pPr>
              <w:rPr>
                <w:b/>
                <w:u w:val="single"/>
              </w:rPr>
            </w:pPr>
            <w:r w:rsidRPr="00270255">
              <w:rPr>
                <w:b/>
                <w:u w:val="single"/>
              </w:rPr>
              <w:t xml:space="preserve">Spørgsmål </w:t>
            </w:r>
            <w:r w:rsidR="00B54D5C">
              <w:rPr>
                <w:b/>
                <w:u w:val="single"/>
              </w:rPr>
              <w:t>6</w:t>
            </w:r>
            <w:r w:rsidRPr="00270255">
              <w:rPr>
                <w:b/>
                <w:u w:val="single"/>
              </w:rPr>
              <w:t>.</w:t>
            </w:r>
            <w:r w:rsidR="00FD47F8" w:rsidRPr="00270255">
              <w:rPr>
                <w:b/>
                <w:u w:val="single"/>
              </w:rPr>
              <w:t>3</w:t>
            </w:r>
            <w:r w:rsidRPr="00270255">
              <w:rPr>
                <w:b/>
                <w:u w:val="single"/>
              </w:rPr>
              <w:t>:</w:t>
            </w:r>
          </w:p>
          <w:p w14:paraId="794AB0B0" w14:textId="77777777" w:rsidR="00DB0A06" w:rsidRDefault="00E03CCA" w:rsidP="00DB0A06">
            <w:r w:rsidRPr="00270255">
              <w:t>Art. 36, l</w:t>
            </w:r>
            <w:r w:rsidR="00AF1BB3" w:rsidRPr="00270255">
              <w:t xml:space="preserve">itra c - </w:t>
            </w:r>
            <w:r w:rsidR="005C09AB" w:rsidRPr="00270255">
              <w:t>Udskudte skatteaktiver, som afhænger af fremtidig rentabilitet</w:t>
            </w:r>
            <w:r w:rsidR="00B75A62" w:rsidRPr="00270255">
              <w:t xml:space="preserve"> i henhold til artikel 38</w:t>
            </w:r>
            <w:r w:rsidR="00C453BD">
              <w:t>?</w:t>
            </w:r>
          </w:p>
          <w:p w14:paraId="41695875" w14:textId="77777777" w:rsidR="00994379" w:rsidRDefault="00994379" w:rsidP="00DB0A06"/>
          <w:p w14:paraId="4118B6BF" w14:textId="3ADC5317" w:rsidR="00C66B65" w:rsidRPr="00270255" w:rsidRDefault="00C66B65" w:rsidP="00DB0A06"/>
        </w:tc>
        <w:tc>
          <w:tcPr>
            <w:tcW w:w="851" w:type="dxa"/>
          </w:tcPr>
          <w:p w14:paraId="6C278697" w14:textId="77777777" w:rsidR="005C09AB" w:rsidRPr="00270255" w:rsidRDefault="005C09AB"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436345EB" w14:textId="77777777" w:rsidR="005C09AB" w:rsidRPr="00270255" w:rsidRDefault="005C09AB" w:rsidP="00A81CA0"/>
        </w:tc>
        <w:tc>
          <w:tcPr>
            <w:tcW w:w="6946" w:type="dxa"/>
          </w:tcPr>
          <w:p w14:paraId="527E13F9" w14:textId="77777777" w:rsidR="005C09AB" w:rsidRPr="00270255" w:rsidRDefault="005C09AB" w:rsidP="00A81CA0">
            <w:pPr>
              <w:snapToGrid w:val="0"/>
            </w:pPr>
            <w:r w:rsidRPr="00270255">
              <w:t>Redegørelse</w:t>
            </w:r>
          </w:p>
          <w:p w14:paraId="49D11BDC"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7626B00B" w14:textId="77777777" w:rsidR="005C09AB" w:rsidRPr="00270255" w:rsidRDefault="005C09AB" w:rsidP="00A81CA0">
            <w:pPr>
              <w:snapToGrid w:val="0"/>
            </w:pPr>
          </w:p>
        </w:tc>
        <w:tc>
          <w:tcPr>
            <w:tcW w:w="2268" w:type="dxa"/>
          </w:tcPr>
          <w:p w14:paraId="453C9021" w14:textId="77777777" w:rsidR="005C09AB" w:rsidRPr="00270255" w:rsidRDefault="005C09AB" w:rsidP="00A81CA0">
            <w:pPr>
              <w:snapToGrid w:val="0"/>
            </w:pPr>
            <w:r w:rsidRPr="00270255">
              <w:t>Forbeholdt Finanstilsynet</w:t>
            </w:r>
          </w:p>
          <w:p w14:paraId="3F721ED3"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C09AB" w:rsidRPr="00270255" w14:paraId="6E888553" w14:textId="77777777" w:rsidTr="00A81CA0">
        <w:tc>
          <w:tcPr>
            <w:tcW w:w="3544" w:type="dxa"/>
          </w:tcPr>
          <w:p w14:paraId="072475F5" w14:textId="77777777" w:rsidR="00E6095F" w:rsidRPr="00270255" w:rsidRDefault="00E6095F" w:rsidP="00E6095F">
            <w:pPr>
              <w:rPr>
                <w:b/>
                <w:u w:val="single"/>
              </w:rPr>
            </w:pPr>
            <w:r w:rsidRPr="00270255">
              <w:rPr>
                <w:b/>
                <w:u w:val="single"/>
              </w:rPr>
              <w:lastRenderedPageBreak/>
              <w:t xml:space="preserve">Spørgsmål </w:t>
            </w:r>
            <w:r w:rsidR="00B54D5C">
              <w:rPr>
                <w:b/>
                <w:u w:val="single"/>
              </w:rPr>
              <w:t>6</w:t>
            </w:r>
            <w:r w:rsidRPr="00270255">
              <w:rPr>
                <w:b/>
                <w:u w:val="single"/>
              </w:rPr>
              <w:t>.</w:t>
            </w:r>
            <w:r w:rsidR="00FD47F8" w:rsidRPr="00270255">
              <w:rPr>
                <w:b/>
                <w:u w:val="single"/>
              </w:rPr>
              <w:t>4</w:t>
            </w:r>
            <w:r w:rsidRPr="00270255">
              <w:rPr>
                <w:b/>
                <w:u w:val="single"/>
              </w:rPr>
              <w:t>:</w:t>
            </w:r>
          </w:p>
          <w:p w14:paraId="1CCDEEDB" w14:textId="77777777" w:rsidR="005C09AB" w:rsidRPr="00270255" w:rsidRDefault="00E03CCA" w:rsidP="00070851">
            <w:r w:rsidRPr="00270255">
              <w:t>Art. 36, l</w:t>
            </w:r>
            <w:r w:rsidR="00E6095F" w:rsidRPr="00270255">
              <w:t xml:space="preserve">itra d - </w:t>
            </w:r>
            <w:r w:rsidR="005C09AB" w:rsidRPr="00270255">
              <w:t xml:space="preserve">For institutter, der </w:t>
            </w:r>
            <w:r w:rsidR="00070851" w:rsidRPr="00270255">
              <w:t xml:space="preserve">anvender IRB-metoden, </w:t>
            </w:r>
            <w:r w:rsidR="005C09AB" w:rsidRPr="00270255">
              <w:t>de negative beløb, som fremkommer ved beregningen af de forventede tab</w:t>
            </w:r>
            <w:r w:rsidR="00C453BD">
              <w:t>?</w:t>
            </w:r>
          </w:p>
          <w:p w14:paraId="7481DC86" w14:textId="41015B62" w:rsidR="00C66B65" w:rsidRDefault="00C66B65" w:rsidP="00070851"/>
          <w:p w14:paraId="34F60621" w14:textId="77777777" w:rsidR="00DB0A06" w:rsidRPr="00270255" w:rsidRDefault="00DB0A06" w:rsidP="00070851"/>
        </w:tc>
        <w:tc>
          <w:tcPr>
            <w:tcW w:w="851" w:type="dxa"/>
          </w:tcPr>
          <w:p w14:paraId="5D55E6CB" w14:textId="77777777" w:rsidR="005C09AB" w:rsidRPr="00270255" w:rsidRDefault="005C09AB"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4383EC89" w14:textId="77777777" w:rsidR="005C09AB" w:rsidRPr="00270255" w:rsidRDefault="005C09AB" w:rsidP="00A81CA0"/>
        </w:tc>
        <w:tc>
          <w:tcPr>
            <w:tcW w:w="6946" w:type="dxa"/>
          </w:tcPr>
          <w:p w14:paraId="37162819" w14:textId="77777777" w:rsidR="005C09AB" w:rsidRPr="00270255" w:rsidRDefault="005C09AB" w:rsidP="00A81CA0">
            <w:pPr>
              <w:snapToGrid w:val="0"/>
            </w:pPr>
            <w:r w:rsidRPr="00270255">
              <w:t>Redegørelse</w:t>
            </w:r>
          </w:p>
          <w:p w14:paraId="680D293C"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BF3E10D" w14:textId="77777777" w:rsidR="005C09AB" w:rsidRPr="00270255" w:rsidRDefault="005C09AB" w:rsidP="00A81CA0">
            <w:pPr>
              <w:snapToGrid w:val="0"/>
            </w:pPr>
          </w:p>
        </w:tc>
        <w:tc>
          <w:tcPr>
            <w:tcW w:w="2268" w:type="dxa"/>
          </w:tcPr>
          <w:p w14:paraId="360D8C09" w14:textId="77777777" w:rsidR="005C09AB" w:rsidRPr="00270255" w:rsidRDefault="005C09AB" w:rsidP="00A81CA0">
            <w:pPr>
              <w:snapToGrid w:val="0"/>
            </w:pPr>
            <w:r w:rsidRPr="00270255">
              <w:t>Forbeholdt Finanstilsynet</w:t>
            </w:r>
          </w:p>
          <w:p w14:paraId="40C206B8"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C09AB" w:rsidRPr="00270255" w14:paraId="0B810842" w14:textId="77777777" w:rsidTr="00A81CA0">
        <w:tc>
          <w:tcPr>
            <w:tcW w:w="3544" w:type="dxa"/>
          </w:tcPr>
          <w:p w14:paraId="066FC21C" w14:textId="77777777" w:rsidR="00E6095F" w:rsidRPr="00270255" w:rsidRDefault="00E6095F" w:rsidP="00E6095F">
            <w:pPr>
              <w:rPr>
                <w:b/>
                <w:u w:val="single"/>
              </w:rPr>
            </w:pPr>
            <w:r w:rsidRPr="00270255">
              <w:rPr>
                <w:b/>
                <w:u w:val="single"/>
              </w:rPr>
              <w:t xml:space="preserve">Spørgsmål </w:t>
            </w:r>
            <w:r w:rsidR="00B54D5C">
              <w:rPr>
                <w:b/>
                <w:u w:val="single"/>
              </w:rPr>
              <w:t>6</w:t>
            </w:r>
            <w:r w:rsidRPr="00270255">
              <w:rPr>
                <w:b/>
                <w:u w:val="single"/>
              </w:rPr>
              <w:t>.</w:t>
            </w:r>
            <w:r w:rsidR="00FD47F8" w:rsidRPr="00270255">
              <w:rPr>
                <w:b/>
                <w:u w:val="single"/>
              </w:rPr>
              <w:t>5</w:t>
            </w:r>
            <w:r w:rsidRPr="00270255">
              <w:rPr>
                <w:b/>
                <w:u w:val="single"/>
              </w:rPr>
              <w:t>:</w:t>
            </w:r>
          </w:p>
          <w:p w14:paraId="08765084" w14:textId="77777777" w:rsidR="005C09AB" w:rsidRDefault="00E03CCA" w:rsidP="005C09AB">
            <w:pPr>
              <w:pStyle w:val="Brdtekst"/>
              <w:rPr>
                <w:rFonts w:ascii="Times New Roman" w:hAnsi="Times New Roman"/>
                <w:sz w:val="24"/>
                <w:szCs w:val="24"/>
              </w:rPr>
            </w:pPr>
            <w:r w:rsidRPr="00270255">
              <w:rPr>
                <w:rFonts w:ascii="Times New Roman" w:hAnsi="Times New Roman"/>
                <w:sz w:val="24"/>
                <w:szCs w:val="24"/>
              </w:rPr>
              <w:t>Art. 36, l</w:t>
            </w:r>
            <w:r w:rsidR="00E6095F" w:rsidRPr="00270255">
              <w:rPr>
                <w:rFonts w:ascii="Times New Roman" w:hAnsi="Times New Roman"/>
                <w:sz w:val="24"/>
                <w:szCs w:val="24"/>
              </w:rPr>
              <w:t xml:space="preserve">itra e - </w:t>
            </w:r>
            <w:r w:rsidR="005C09AB" w:rsidRPr="00270255">
              <w:rPr>
                <w:rFonts w:ascii="Times New Roman" w:hAnsi="Times New Roman"/>
                <w:sz w:val="24"/>
                <w:szCs w:val="24"/>
              </w:rPr>
              <w:t>Instituttets balanceførte aktiver i ydelsesbaserede pensionskasser</w:t>
            </w:r>
            <w:r w:rsidR="00C453BD">
              <w:rPr>
                <w:rFonts w:ascii="Times New Roman" w:hAnsi="Times New Roman"/>
                <w:sz w:val="24"/>
                <w:szCs w:val="24"/>
              </w:rPr>
              <w:t>?</w:t>
            </w:r>
          </w:p>
          <w:p w14:paraId="76ADA64B" w14:textId="1B36870B" w:rsidR="00D116A2" w:rsidRDefault="00D116A2" w:rsidP="005C09AB">
            <w:pPr>
              <w:pStyle w:val="Brdtekst"/>
              <w:rPr>
                <w:rFonts w:ascii="Times New Roman" w:hAnsi="Times New Roman"/>
                <w:sz w:val="24"/>
                <w:szCs w:val="24"/>
              </w:rPr>
            </w:pPr>
          </w:p>
          <w:p w14:paraId="7ED180E1" w14:textId="77777777" w:rsidR="00C66B65" w:rsidRPr="00270255" w:rsidRDefault="00C66B65" w:rsidP="005C09AB">
            <w:pPr>
              <w:pStyle w:val="Brdtekst"/>
              <w:rPr>
                <w:rFonts w:ascii="Times New Roman" w:hAnsi="Times New Roman"/>
                <w:sz w:val="24"/>
                <w:szCs w:val="24"/>
              </w:rPr>
            </w:pPr>
          </w:p>
        </w:tc>
        <w:tc>
          <w:tcPr>
            <w:tcW w:w="851" w:type="dxa"/>
          </w:tcPr>
          <w:p w14:paraId="464A3ED5" w14:textId="77777777" w:rsidR="005C09AB" w:rsidRPr="00270255" w:rsidRDefault="005C09AB"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29595E67" w14:textId="77777777" w:rsidR="005C09AB" w:rsidRPr="00270255" w:rsidRDefault="005C09AB" w:rsidP="00A81CA0"/>
        </w:tc>
        <w:tc>
          <w:tcPr>
            <w:tcW w:w="6946" w:type="dxa"/>
          </w:tcPr>
          <w:p w14:paraId="648753E8" w14:textId="77777777" w:rsidR="005C09AB" w:rsidRPr="00270255" w:rsidRDefault="005C09AB" w:rsidP="00A81CA0">
            <w:pPr>
              <w:snapToGrid w:val="0"/>
            </w:pPr>
            <w:r w:rsidRPr="00270255">
              <w:t>Redegørelse</w:t>
            </w:r>
          </w:p>
          <w:p w14:paraId="36AAD7DA"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327A79A" w14:textId="77777777" w:rsidR="005C09AB" w:rsidRPr="00270255" w:rsidRDefault="005C09AB" w:rsidP="00A81CA0">
            <w:pPr>
              <w:snapToGrid w:val="0"/>
            </w:pPr>
          </w:p>
        </w:tc>
        <w:tc>
          <w:tcPr>
            <w:tcW w:w="2268" w:type="dxa"/>
          </w:tcPr>
          <w:p w14:paraId="33559DE1" w14:textId="77777777" w:rsidR="005C09AB" w:rsidRPr="00270255" w:rsidRDefault="005C09AB" w:rsidP="00A81CA0">
            <w:pPr>
              <w:snapToGrid w:val="0"/>
            </w:pPr>
            <w:r w:rsidRPr="00270255">
              <w:t>Forbeholdt Finanstilsynet</w:t>
            </w:r>
          </w:p>
          <w:p w14:paraId="76969FE5"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C09AB" w:rsidRPr="00270255" w14:paraId="4A4CB960" w14:textId="77777777" w:rsidTr="00A81CA0">
        <w:tc>
          <w:tcPr>
            <w:tcW w:w="3544" w:type="dxa"/>
          </w:tcPr>
          <w:p w14:paraId="70268D63" w14:textId="77777777" w:rsidR="00E6095F" w:rsidRPr="00270255" w:rsidRDefault="00E6095F" w:rsidP="00E6095F">
            <w:pPr>
              <w:rPr>
                <w:b/>
                <w:u w:val="single"/>
              </w:rPr>
            </w:pPr>
            <w:r w:rsidRPr="00270255">
              <w:rPr>
                <w:b/>
                <w:u w:val="single"/>
              </w:rPr>
              <w:t xml:space="preserve">Spørgsmål </w:t>
            </w:r>
            <w:r w:rsidR="00B54D5C">
              <w:rPr>
                <w:b/>
                <w:u w:val="single"/>
              </w:rPr>
              <w:t>6</w:t>
            </w:r>
            <w:r w:rsidRPr="00270255">
              <w:rPr>
                <w:b/>
                <w:u w:val="single"/>
              </w:rPr>
              <w:t>.</w:t>
            </w:r>
            <w:r w:rsidR="00FD47F8" w:rsidRPr="00270255">
              <w:rPr>
                <w:b/>
                <w:u w:val="single"/>
              </w:rPr>
              <w:t>6</w:t>
            </w:r>
            <w:r w:rsidRPr="00270255">
              <w:rPr>
                <w:b/>
                <w:u w:val="single"/>
              </w:rPr>
              <w:t>:</w:t>
            </w:r>
          </w:p>
          <w:p w14:paraId="120AFEC3" w14:textId="77777777" w:rsidR="005C09AB" w:rsidRPr="00270255" w:rsidRDefault="00E03CCA" w:rsidP="00070851">
            <w:r w:rsidRPr="00270255">
              <w:t>Art. 36, l</w:t>
            </w:r>
            <w:r w:rsidR="00E6095F" w:rsidRPr="00270255">
              <w:t xml:space="preserve">itra f - </w:t>
            </w:r>
            <w:r w:rsidR="005C09AB" w:rsidRPr="00270255">
              <w:t xml:space="preserve">Et instituts direkte, indirekte og syntetiske besiddelser af </w:t>
            </w:r>
            <w:r w:rsidR="005C09AB" w:rsidRPr="00270255">
              <w:rPr>
                <w:i/>
              </w:rPr>
              <w:t>egne</w:t>
            </w:r>
            <w:r w:rsidR="005C09AB" w:rsidRPr="00270255">
              <w:t xml:space="preserve"> egentlige kernekapitalinstrumenter, herunder af egne egentlige kernekapitalinstrumenter, som et institut er forpligtet til at købe</w:t>
            </w:r>
            <w:r w:rsidR="00C453BD">
              <w:t>?</w:t>
            </w:r>
          </w:p>
          <w:p w14:paraId="0A991449" w14:textId="77777777" w:rsidR="00C66B65" w:rsidRDefault="00C66B65" w:rsidP="00070851"/>
          <w:p w14:paraId="0666830A" w14:textId="703DB6C2" w:rsidR="00113BE6" w:rsidRPr="00270255" w:rsidRDefault="00113BE6" w:rsidP="00070851"/>
        </w:tc>
        <w:tc>
          <w:tcPr>
            <w:tcW w:w="851" w:type="dxa"/>
          </w:tcPr>
          <w:p w14:paraId="25BDC012" w14:textId="77777777" w:rsidR="005C09AB" w:rsidRPr="00270255" w:rsidRDefault="005C09AB"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B7E372C" w14:textId="77777777" w:rsidR="005C09AB" w:rsidRPr="00270255" w:rsidRDefault="005C09AB" w:rsidP="00A81CA0"/>
        </w:tc>
        <w:tc>
          <w:tcPr>
            <w:tcW w:w="6946" w:type="dxa"/>
          </w:tcPr>
          <w:p w14:paraId="34177B83" w14:textId="77777777" w:rsidR="005C09AB" w:rsidRPr="00270255" w:rsidRDefault="005C09AB" w:rsidP="00A81CA0">
            <w:pPr>
              <w:snapToGrid w:val="0"/>
            </w:pPr>
            <w:r w:rsidRPr="00270255">
              <w:t>Redegørelse</w:t>
            </w:r>
          </w:p>
          <w:p w14:paraId="03EA130E"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45E9B7FB" w14:textId="77777777" w:rsidR="005C09AB" w:rsidRPr="00270255" w:rsidRDefault="005C09AB" w:rsidP="00A81CA0">
            <w:pPr>
              <w:snapToGrid w:val="0"/>
            </w:pPr>
          </w:p>
        </w:tc>
        <w:tc>
          <w:tcPr>
            <w:tcW w:w="2268" w:type="dxa"/>
          </w:tcPr>
          <w:p w14:paraId="3244055B" w14:textId="77777777" w:rsidR="005C09AB" w:rsidRPr="00270255" w:rsidRDefault="005C09AB" w:rsidP="00A81CA0">
            <w:pPr>
              <w:snapToGrid w:val="0"/>
            </w:pPr>
            <w:r w:rsidRPr="00270255">
              <w:t>Forbeholdt Finanstilsynet</w:t>
            </w:r>
          </w:p>
          <w:p w14:paraId="768E407C"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C09AB" w:rsidRPr="00270255" w14:paraId="0AC2DEDA" w14:textId="77777777" w:rsidTr="00A81CA0">
        <w:tc>
          <w:tcPr>
            <w:tcW w:w="3544" w:type="dxa"/>
          </w:tcPr>
          <w:p w14:paraId="7C707A1A" w14:textId="77777777" w:rsidR="00E6095F" w:rsidRPr="00270255" w:rsidRDefault="00E6095F" w:rsidP="00E6095F">
            <w:pPr>
              <w:rPr>
                <w:b/>
                <w:u w:val="single"/>
              </w:rPr>
            </w:pPr>
            <w:r w:rsidRPr="00270255">
              <w:rPr>
                <w:b/>
                <w:u w:val="single"/>
              </w:rPr>
              <w:t xml:space="preserve">Spørgsmål </w:t>
            </w:r>
            <w:r w:rsidR="00B54D5C">
              <w:rPr>
                <w:b/>
                <w:u w:val="single"/>
              </w:rPr>
              <w:t>6</w:t>
            </w:r>
            <w:r w:rsidRPr="00270255">
              <w:rPr>
                <w:b/>
                <w:u w:val="single"/>
              </w:rPr>
              <w:t>.</w:t>
            </w:r>
            <w:r w:rsidR="00FD47F8" w:rsidRPr="00270255">
              <w:rPr>
                <w:b/>
                <w:u w:val="single"/>
              </w:rPr>
              <w:t>7</w:t>
            </w:r>
            <w:r w:rsidRPr="00270255">
              <w:rPr>
                <w:b/>
                <w:u w:val="single"/>
              </w:rPr>
              <w:t>:</w:t>
            </w:r>
          </w:p>
          <w:p w14:paraId="02093CAC" w14:textId="77777777" w:rsidR="00D116A2" w:rsidRDefault="00E03CCA" w:rsidP="0054307A">
            <w:r w:rsidRPr="00270255">
              <w:t>Art. 36, l</w:t>
            </w:r>
            <w:r w:rsidR="00E6095F" w:rsidRPr="00270255">
              <w:t xml:space="preserve">itra g - </w:t>
            </w:r>
            <w:r w:rsidR="006F2554">
              <w:t xml:space="preserve">Direkte, indirekte og syntetiske besiddelser af egentlige kernekapitalinstrumenter i enheder i den finansielle sektor. Er der besiddelser i krydsejerskab, </w:t>
            </w:r>
            <w:r w:rsidR="00891E98">
              <w:t xml:space="preserve">der er </w:t>
            </w:r>
            <w:r w:rsidR="006F2554">
              <w:t>indgået for kunstigt at øge instituttets kapitalgrundlag? I bekræftende fald hvilke?</w:t>
            </w:r>
          </w:p>
          <w:p w14:paraId="5C7442A0" w14:textId="77777777" w:rsidR="000F1D6F" w:rsidRDefault="000F1D6F" w:rsidP="0054307A"/>
          <w:p w14:paraId="732CEA36" w14:textId="77777777" w:rsidR="00C66B65" w:rsidRPr="00270255" w:rsidRDefault="00C66B65" w:rsidP="0054307A"/>
        </w:tc>
        <w:tc>
          <w:tcPr>
            <w:tcW w:w="851" w:type="dxa"/>
          </w:tcPr>
          <w:p w14:paraId="1D21FDA6" w14:textId="77777777" w:rsidR="005C09AB" w:rsidRPr="00270255" w:rsidRDefault="005C09AB"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3C0C8FAA" w14:textId="77777777" w:rsidR="005C09AB" w:rsidRPr="00270255" w:rsidRDefault="005C09AB" w:rsidP="00A81CA0"/>
        </w:tc>
        <w:tc>
          <w:tcPr>
            <w:tcW w:w="6946" w:type="dxa"/>
          </w:tcPr>
          <w:p w14:paraId="48F035BD" w14:textId="77777777" w:rsidR="005C09AB" w:rsidRPr="00270255" w:rsidRDefault="005C09AB" w:rsidP="00A81CA0">
            <w:pPr>
              <w:snapToGrid w:val="0"/>
            </w:pPr>
            <w:r w:rsidRPr="00270255">
              <w:t>Redegørelse</w:t>
            </w:r>
          </w:p>
          <w:p w14:paraId="424A6A5A"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3BDEDE9B" w14:textId="77777777" w:rsidR="005C09AB" w:rsidRPr="00270255" w:rsidRDefault="005C09AB" w:rsidP="00A81CA0">
            <w:pPr>
              <w:snapToGrid w:val="0"/>
            </w:pPr>
          </w:p>
        </w:tc>
        <w:tc>
          <w:tcPr>
            <w:tcW w:w="2268" w:type="dxa"/>
          </w:tcPr>
          <w:p w14:paraId="700EA6F7" w14:textId="77777777" w:rsidR="005C09AB" w:rsidRPr="00270255" w:rsidRDefault="005C09AB" w:rsidP="00A81CA0">
            <w:pPr>
              <w:snapToGrid w:val="0"/>
            </w:pPr>
            <w:r w:rsidRPr="00270255">
              <w:t>Forbeholdt Finanstilsynet</w:t>
            </w:r>
          </w:p>
          <w:p w14:paraId="7D283695"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5C09AB" w:rsidRPr="00270255" w14:paraId="24D138F1" w14:textId="77777777" w:rsidTr="00A81CA0">
        <w:tc>
          <w:tcPr>
            <w:tcW w:w="3544" w:type="dxa"/>
          </w:tcPr>
          <w:p w14:paraId="70EC1A3F" w14:textId="77777777" w:rsidR="00E6095F" w:rsidRPr="00270255" w:rsidRDefault="00E6095F" w:rsidP="00E6095F">
            <w:pPr>
              <w:rPr>
                <w:b/>
                <w:u w:val="single"/>
              </w:rPr>
            </w:pPr>
            <w:r w:rsidRPr="00270255">
              <w:rPr>
                <w:b/>
                <w:u w:val="single"/>
              </w:rPr>
              <w:lastRenderedPageBreak/>
              <w:t xml:space="preserve">Spørgsmål </w:t>
            </w:r>
            <w:r w:rsidR="00B54D5C">
              <w:rPr>
                <w:b/>
                <w:u w:val="single"/>
              </w:rPr>
              <w:t>6</w:t>
            </w:r>
            <w:r w:rsidRPr="00270255">
              <w:rPr>
                <w:b/>
                <w:u w:val="single"/>
              </w:rPr>
              <w:t>.</w:t>
            </w:r>
            <w:r w:rsidR="00FD47F8" w:rsidRPr="00270255">
              <w:rPr>
                <w:b/>
                <w:u w:val="single"/>
              </w:rPr>
              <w:t>8</w:t>
            </w:r>
            <w:r w:rsidRPr="00270255">
              <w:rPr>
                <w:b/>
                <w:u w:val="single"/>
              </w:rPr>
              <w:t>:</w:t>
            </w:r>
          </w:p>
          <w:p w14:paraId="2CB7E6E9" w14:textId="77777777" w:rsidR="00D116A2" w:rsidRDefault="00E03CCA" w:rsidP="00DB0A06">
            <w:r w:rsidRPr="00270255">
              <w:t>Art. 36, l</w:t>
            </w:r>
            <w:r w:rsidR="00E6095F" w:rsidRPr="00270255">
              <w:t xml:space="preserve">itra h - </w:t>
            </w:r>
            <w:r w:rsidR="00070851" w:rsidRPr="00270255">
              <w:t xml:space="preserve">Instituttets relevante direkte, indirekte og syntetiske besiddelser af egentlige kernekapitalinstrumenter i enheder i den finansielle sektor, når instituttet </w:t>
            </w:r>
            <w:r w:rsidR="00070851" w:rsidRPr="00270255">
              <w:rPr>
                <w:i/>
              </w:rPr>
              <w:t>ikke har væsentlige</w:t>
            </w:r>
            <w:r w:rsidR="00070851" w:rsidRPr="00270255">
              <w:t xml:space="preserve"> investeringer i disse enheder</w:t>
            </w:r>
            <w:r w:rsidR="00C453BD">
              <w:t>?</w:t>
            </w:r>
          </w:p>
          <w:p w14:paraId="26225495" w14:textId="77777777" w:rsidR="00DB0A06" w:rsidRDefault="00DB0A06" w:rsidP="00DB0A06"/>
          <w:p w14:paraId="1EE195DC" w14:textId="77777777" w:rsidR="00C66B65" w:rsidRDefault="00C66B65" w:rsidP="00DB0A06"/>
          <w:p w14:paraId="0E13AD1A" w14:textId="7C53333D" w:rsidR="00113BE6" w:rsidRPr="00270255" w:rsidRDefault="00113BE6" w:rsidP="00DB0A06"/>
        </w:tc>
        <w:tc>
          <w:tcPr>
            <w:tcW w:w="851" w:type="dxa"/>
          </w:tcPr>
          <w:p w14:paraId="23E4712C" w14:textId="77777777" w:rsidR="005C09AB" w:rsidRPr="00270255" w:rsidRDefault="005C09AB"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0DD67DB4" w14:textId="77777777" w:rsidR="005C09AB" w:rsidRPr="00270255" w:rsidRDefault="005C09AB" w:rsidP="00A81CA0"/>
        </w:tc>
        <w:tc>
          <w:tcPr>
            <w:tcW w:w="6946" w:type="dxa"/>
          </w:tcPr>
          <w:p w14:paraId="78A11843" w14:textId="77777777" w:rsidR="005C09AB" w:rsidRPr="00270255" w:rsidRDefault="005C09AB" w:rsidP="00A81CA0">
            <w:pPr>
              <w:snapToGrid w:val="0"/>
            </w:pPr>
            <w:r w:rsidRPr="00270255">
              <w:t>Redegørelse</w:t>
            </w:r>
          </w:p>
          <w:p w14:paraId="572CB32E"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8E2DAD4" w14:textId="77777777" w:rsidR="005C09AB" w:rsidRPr="00270255" w:rsidRDefault="005C09AB" w:rsidP="00A81CA0">
            <w:pPr>
              <w:snapToGrid w:val="0"/>
            </w:pPr>
          </w:p>
        </w:tc>
        <w:tc>
          <w:tcPr>
            <w:tcW w:w="2268" w:type="dxa"/>
          </w:tcPr>
          <w:p w14:paraId="61F1DF2A" w14:textId="77777777" w:rsidR="005C09AB" w:rsidRPr="00270255" w:rsidRDefault="005C09AB" w:rsidP="00A81CA0">
            <w:pPr>
              <w:snapToGrid w:val="0"/>
            </w:pPr>
            <w:r w:rsidRPr="00270255">
              <w:t>Forbeholdt Finanstilsynet</w:t>
            </w:r>
          </w:p>
          <w:p w14:paraId="170B3A88" w14:textId="77777777" w:rsidR="005C09AB" w:rsidRPr="00270255" w:rsidRDefault="005C09AB"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070851" w:rsidRPr="00270255" w14:paraId="58378006" w14:textId="77777777" w:rsidTr="00A81CA0">
        <w:tc>
          <w:tcPr>
            <w:tcW w:w="3544" w:type="dxa"/>
          </w:tcPr>
          <w:p w14:paraId="09823E9C" w14:textId="77777777" w:rsidR="00E6095F" w:rsidRPr="00270255" w:rsidRDefault="00E6095F" w:rsidP="00E6095F">
            <w:pPr>
              <w:rPr>
                <w:b/>
                <w:u w:val="single"/>
              </w:rPr>
            </w:pPr>
            <w:r w:rsidRPr="00270255">
              <w:rPr>
                <w:b/>
                <w:u w:val="single"/>
              </w:rPr>
              <w:t xml:space="preserve">Spørgsmål </w:t>
            </w:r>
            <w:r w:rsidR="00B54D5C">
              <w:rPr>
                <w:b/>
                <w:u w:val="single"/>
              </w:rPr>
              <w:t>6</w:t>
            </w:r>
            <w:r w:rsidRPr="00270255">
              <w:rPr>
                <w:b/>
                <w:u w:val="single"/>
              </w:rPr>
              <w:t>.</w:t>
            </w:r>
            <w:r w:rsidR="00FD47F8" w:rsidRPr="00270255">
              <w:rPr>
                <w:b/>
                <w:u w:val="single"/>
              </w:rPr>
              <w:t>9</w:t>
            </w:r>
            <w:r w:rsidRPr="00270255">
              <w:rPr>
                <w:b/>
                <w:u w:val="single"/>
              </w:rPr>
              <w:t>:</w:t>
            </w:r>
          </w:p>
          <w:p w14:paraId="64A89DF8" w14:textId="77777777" w:rsidR="00070851" w:rsidRPr="00270255" w:rsidRDefault="00E03CCA" w:rsidP="002904F8">
            <w:r w:rsidRPr="00270255">
              <w:t>Art. 36, l</w:t>
            </w:r>
            <w:r w:rsidR="00E6095F" w:rsidRPr="00270255">
              <w:t xml:space="preserve">itra i - </w:t>
            </w:r>
            <w:r w:rsidR="002904F8" w:rsidRPr="00270255">
              <w:t xml:space="preserve">Instituttets relevante direkte, indirekte og syntetiske besiddelser af egentlige kernekapitalinstrumenter i enheder i den finansielle sektor, når instituttet </w:t>
            </w:r>
            <w:r w:rsidR="002904F8" w:rsidRPr="00270255">
              <w:rPr>
                <w:i/>
              </w:rPr>
              <w:t>har væsentlige</w:t>
            </w:r>
            <w:r w:rsidR="002904F8" w:rsidRPr="00270255">
              <w:t xml:space="preserve"> investeringer i disse enheder</w:t>
            </w:r>
            <w:r w:rsidR="00C453BD">
              <w:t>?</w:t>
            </w:r>
          </w:p>
          <w:p w14:paraId="33C10EE2" w14:textId="77777777" w:rsidR="00D116A2" w:rsidRDefault="00D116A2" w:rsidP="002904F8"/>
          <w:p w14:paraId="1064BB23" w14:textId="547ACBE4" w:rsidR="00C66B65" w:rsidRDefault="00C66B65" w:rsidP="002904F8"/>
          <w:p w14:paraId="05ECCAA4" w14:textId="77777777" w:rsidR="00113BE6" w:rsidRDefault="00113BE6" w:rsidP="002904F8"/>
          <w:p w14:paraId="036BE8B0" w14:textId="77777777" w:rsidR="00C66B65" w:rsidRPr="00270255" w:rsidRDefault="00C66B65" w:rsidP="002904F8"/>
        </w:tc>
        <w:tc>
          <w:tcPr>
            <w:tcW w:w="851" w:type="dxa"/>
          </w:tcPr>
          <w:p w14:paraId="5DCA598A" w14:textId="77777777" w:rsidR="00070851" w:rsidRPr="00270255" w:rsidRDefault="00070851"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36D9E66A" w14:textId="77777777" w:rsidR="00070851" w:rsidRPr="00270255" w:rsidRDefault="00070851" w:rsidP="00A81CA0"/>
        </w:tc>
        <w:tc>
          <w:tcPr>
            <w:tcW w:w="6946" w:type="dxa"/>
          </w:tcPr>
          <w:p w14:paraId="60693DD5" w14:textId="77777777" w:rsidR="00070851" w:rsidRPr="00270255" w:rsidRDefault="00070851" w:rsidP="00A81CA0">
            <w:pPr>
              <w:snapToGrid w:val="0"/>
            </w:pPr>
            <w:r w:rsidRPr="00270255">
              <w:t>Redegørelse</w:t>
            </w:r>
          </w:p>
          <w:p w14:paraId="4075FF9A" w14:textId="77777777" w:rsidR="00070851" w:rsidRPr="00270255" w:rsidRDefault="0007085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09DB8E04" w14:textId="77777777" w:rsidR="00070851" w:rsidRPr="00270255" w:rsidRDefault="00070851" w:rsidP="00A81CA0">
            <w:pPr>
              <w:snapToGrid w:val="0"/>
            </w:pPr>
          </w:p>
        </w:tc>
        <w:tc>
          <w:tcPr>
            <w:tcW w:w="2268" w:type="dxa"/>
          </w:tcPr>
          <w:p w14:paraId="46E3E57A" w14:textId="77777777" w:rsidR="00070851" w:rsidRPr="00270255" w:rsidRDefault="00070851" w:rsidP="00A81CA0">
            <w:pPr>
              <w:snapToGrid w:val="0"/>
            </w:pPr>
            <w:r w:rsidRPr="00270255">
              <w:t>Forbeholdt Finanstilsynet</w:t>
            </w:r>
          </w:p>
          <w:p w14:paraId="2FE751BD" w14:textId="77777777" w:rsidR="00070851" w:rsidRPr="00270255" w:rsidRDefault="0007085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070851" w:rsidRPr="00270255" w14:paraId="61891670" w14:textId="77777777" w:rsidTr="00A81CA0">
        <w:tc>
          <w:tcPr>
            <w:tcW w:w="3544" w:type="dxa"/>
          </w:tcPr>
          <w:p w14:paraId="64374124" w14:textId="77777777" w:rsidR="00E6095F" w:rsidRPr="00270255" w:rsidRDefault="00E6095F" w:rsidP="00E6095F">
            <w:pPr>
              <w:rPr>
                <w:b/>
                <w:u w:val="single"/>
              </w:rPr>
            </w:pPr>
            <w:r w:rsidRPr="00270255">
              <w:rPr>
                <w:b/>
                <w:u w:val="single"/>
              </w:rPr>
              <w:t xml:space="preserve">Spørgsmål </w:t>
            </w:r>
            <w:r w:rsidR="00B54D5C">
              <w:rPr>
                <w:b/>
                <w:u w:val="single"/>
              </w:rPr>
              <w:t>6</w:t>
            </w:r>
            <w:r w:rsidRPr="00270255">
              <w:rPr>
                <w:b/>
                <w:u w:val="single"/>
              </w:rPr>
              <w:t>.1</w:t>
            </w:r>
            <w:r w:rsidR="00FD47F8" w:rsidRPr="00270255">
              <w:rPr>
                <w:b/>
                <w:u w:val="single"/>
              </w:rPr>
              <w:t>0</w:t>
            </w:r>
            <w:r w:rsidRPr="00270255">
              <w:rPr>
                <w:b/>
                <w:u w:val="single"/>
              </w:rPr>
              <w:t>:</w:t>
            </w:r>
          </w:p>
          <w:p w14:paraId="36CAEF8D" w14:textId="77777777" w:rsidR="00070851" w:rsidRDefault="00E03CCA" w:rsidP="002904F8">
            <w:pPr>
              <w:pStyle w:val="Brdtekst"/>
              <w:rPr>
                <w:rFonts w:ascii="Times New Roman" w:hAnsi="Times New Roman"/>
                <w:sz w:val="24"/>
                <w:szCs w:val="24"/>
              </w:rPr>
            </w:pPr>
            <w:r w:rsidRPr="00270255">
              <w:rPr>
                <w:rFonts w:ascii="Times New Roman" w:hAnsi="Times New Roman"/>
                <w:sz w:val="24"/>
                <w:szCs w:val="24"/>
              </w:rPr>
              <w:t>Art. 36, l</w:t>
            </w:r>
            <w:r w:rsidR="00E6095F" w:rsidRPr="00270255">
              <w:rPr>
                <w:rFonts w:ascii="Times New Roman" w:hAnsi="Times New Roman"/>
                <w:sz w:val="24"/>
                <w:szCs w:val="24"/>
              </w:rPr>
              <w:t xml:space="preserve">itra j - </w:t>
            </w:r>
            <w:r w:rsidR="002904F8" w:rsidRPr="00270255">
              <w:rPr>
                <w:rFonts w:ascii="Times New Roman" w:hAnsi="Times New Roman"/>
                <w:sz w:val="24"/>
                <w:szCs w:val="24"/>
              </w:rPr>
              <w:t>De komponenter, som i henhold til artikel 56 skal fratrækkes de hybride kernekapitalposter, og som overstiger insti</w:t>
            </w:r>
            <w:r w:rsidR="00C453BD">
              <w:rPr>
                <w:rFonts w:ascii="Times New Roman" w:hAnsi="Times New Roman"/>
                <w:sz w:val="24"/>
                <w:szCs w:val="24"/>
              </w:rPr>
              <w:t>tuttets hybride kernekapital?</w:t>
            </w:r>
          </w:p>
          <w:p w14:paraId="2254B629" w14:textId="77777777" w:rsidR="00C66B65" w:rsidRDefault="00C66B65" w:rsidP="002904F8">
            <w:pPr>
              <w:pStyle w:val="Brdtekst"/>
              <w:rPr>
                <w:rFonts w:ascii="Times New Roman" w:hAnsi="Times New Roman"/>
                <w:sz w:val="24"/>
                <w:szCs w:val="24"/>
              </w:rPr>
            </w:pPr>
          </w:p>
          <w:p w14:paraId="26DD16BE" w14:textId="77D9E578" w:rsidR="00C66B65" w:rsidRDefault="00C66B65" w:rsidP="002904F8">
            <w:pPr>
              <w:pStyle w:val="Brdtekst"/>
              <w:rPr>
                <w:rFonts w:ascii="Times New Roman" w:hAnsi="Times New Roman"/>
                <w:sz w:val="24"/>
                <w:szCs w:val="24"/>
              </w:rPr>
            </w:pPr>
          </w:p>
          <w:p w14:paraId="7D451AF6" w14:textId="77777777" w:rsidR="00113BE6" w:rsidRPr="00270255" w:rsidRDefault="00113BE6" w:rsidP="002904F8">
            <w:pPr>
              <w:pStyle w:val="Brdtekst"/>
              <w:rPr>
                <w:rFonts w:ascii="Times New Roman" w:hAnsi="Times New Roman"/>
                <w:sz w:val="24"/>
                <w:szCs w:val="24"/>
              </w:rPr>
            </w:pPr>
          </w:p>
          <w:p w14:paraId="0ABE3452" w14:textId="77777777" w:rsidR="00D116A2" w:rsidRPr="00270255" w:rsidRDefault="00D116A2" w:rsidP="002904F8">
            <w:pPr>
              <w:pStyle w:val="Brdtekst"/>
              <w:rPr>
                <w:rFonts w:ascii="Times New Roman" w:hAnsi="Times New Roman"/>
                <w:sz w:val="24"/>
                <w:szCs w:val="24"/>
              </w:rPr>
            </w:pPr>
          </w:p>
        </w:tc>
        <w:tc>
          <w:tcPr>
            <w:tcW w:w="851" w:type="dxa"/>
          </w:tcPr>
          <w:p w14:paraId="3DE9D13B" w14:textId="77777777" w:rsidR="00070851" w:rsidRPr="00270255" w:rsidRDefault="00070851"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4E0C9B0D" w14:textId="77777777" w:rsidR="00070851" w:rsidRPr="00270255" w:rsidRDefault="00070851" w:rsidP="00A81CA0"/>
        </w:tc>
        <w:tc>
          <w:tcPr>
            <w:tcW w:w="6946" w:type="dxa"/>
          </w:tcPr>
          <w:p w14:paraId="54A51AA9" w14:textId="77777777" w:rsidR="00070851" w:rsidRPr="00270255" w:rsidRDefault="00070851" w:rsidP="00A81CA0">
            <w:pPr>
              <w:snapToGrid w:val="0"/>
            </w:pPr>
            <w:r w:rsidRPr="00270255">
              <w:t>Redegørelse</w:t>
            </w:r>
          </w:p>
          <w:p w14:paraId="5CFCB689" w14:textId="77777777" w:rsidR="00070851" w:rsidRPr="00270255" w:rsidRDefault="0007085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5F38A3F" w14:textId="77777777" w:rsidR="00070851" w:rsidRPr="00270255" w:rsidRDefault="00070851" w:rsidP="00A81CA0">
            <w:pPr>
              <w:snapToGrid w:val="0"/>
            </w:pPr>
          </w:p>
        </w:tc>
        <w:tc>
          <w:tcPr>
            <w:tcW w:w="2268" w:type="dxa"/>
          </w:tcPr>
          <w:p w14:paraId="4B0B82FB" w14:textId="77777777" w:rsidR="00070851" w:rsidRPr="00270255" w:rsidRDefault="00070851" w:rsidP="00A81CA0">
            <w:pPr>
              <w:snapToGrid w:val="0"/>
            </w:pPr>
            <w:r w:rsidRPr="00270255">
              <w:t>Forbeholdt Finanstilsynet</w:t>
            </w:r>
          </w:p>
          <w:p w14:paraId="13ACA6D6" w14:textId="77777777" w:rsidR="00070851" w:rsidRPr="00270255" w:rsidRDefault="0007085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070851" w:rsidRPr="00270255" w14:paraId="2E0D37E1" w14:textId="77777777" w:rsidTr="00A81CA0">
        <w:tc>
          <w:tcPr>
            <w:tcW w:w="3544" w:type="dxa"/>
          </w:tcPr>
          <w:p w14:paraId="632EB774" w14:textId="77777777" w:rsidR="00E6095F" w:rsidRPr="00270255" w:rsidRDefault="00E6095F" w:rsidP="00E6095F">
            <w:pPr>
              <w:rPr>
                <w:b/>
                <w:u w:val="single"/>
              </w:rPr>
            </w:pPr>
            <w:r w:rsidRPr="00270255">
              <w:rPr>
                <w:b/>
                <w:u w:val="single"/>
              </w:rPr>
              <w:lastRenderedPageBreak/>
              <w:t xml:space="preserve">Spørgsmål </w:t>
            </w:r>
            <w:r w:rsidR="00B54D5C">
              <w:rPr>
                <w:b/>
                <w:u w:val="single"/>
              </w:rPr>
              <w:t>6</w:t>
            </w:r>
            <w:r w:rsidRPr="00270255">
              <w:rPr>
                <w:b/>
                <w:u w:val="single"/>
              </w:rPr>
              <w:t>.1</w:t>
            </w:r>
            <w:r w:rsidR="00FD47F8" w:rsidRPr="00270255">
              <w:rPr>
                <w:b/>
                <w:u w:val="single"/>
              </w:rPr>
              <w:t>1</w:t>
            </w:r>
            <w:r w:rsidRPr="00270255">
              <w:rPr>
                <w:b/>
                <w:u w:val="single"/>
              </w:rPr>
              <w:t>:</w:t>
            </w:r>
          </w:p>
          <w:p w14:paraId="1240C525" w14:textId="77777777" w:rsidR="002904F8" w:rsidRPr="00270255" w:rsidRDefault="00E03CCA" w:rsidP="002904F8">
            <w:pPr>
              <w:pStyle w:val="Brdtekst"/>
              <w:rPr>
                <w:rFonts w:ascii="Times New Roman" w:hAnsi="Times New Roman"/>
                <w:sz w:val="24"/>
                <w:szCs w:val="24"/>
              </w:rPr>
            </w:pPr>
            <w:r w:rsidRPr="00270255">
              <w:rPr>
                <w:rFonts w:ascii="Times New Roman" w:hAnsi="Times New Roman"/>
                <w:sz w:val="24"/>
                <w:szCs w:val="24"/>
              </w:rPr>
              <w:t>Art. 36, l</w:t>
            </w:r>
            <w:r w:rsidR="00E6095F" w:rsidRPr="00270255">
              <w:rPr>
                <w:rFonts w:ascii="Times New Roman" w:hAnsi="Times New Roman"/>
                <w:sz w:val="24"/>
                <w:szCs w:val="24"/>
              </w:rPr>
              <w:t xml:space="preserve">itra k - </w:t>
            </w:r>
            <w:r w:rsidR="002904F8" w:rsidRPr="00270255">
              <w:rPr>
                <w:rFonts w:ascii="Times New Roman" w:hAnsi="Times New Roman"/>
                <w:sz w:val="24"/>
                <w:szCs w:val="24"/>
              </w:rPr>
              <w:t xml:space="preserve">Eksponeringsværdien af følgende poster, som opfylder betingelserne for at kunne tildeles en risikovægt på 1 250 %, hvis instituttet trækker denne eksponeringsværdi fra værdien af egentlige kernekapitalposter som et alternativ til at anvende en risikovægt på 1 250 %: </w:t>
            </w:r>
          </w:p>
          <w:p w14:paraId="59D7D469" w14:textId="77777777" w:rsidR="002904F8" w:rsidRPr="00270255" w:rsidRDefault="002904F8" w:rsidP="00200B89">
            <w:pPr>
              <w:pStyle w:val="Listeafsnit"/>
              <w:numPr>
                <w:ilvl w:val="0"/>
                <w:numId w:val="3"/>
              </w:numPr>
              <w:ind w:left="743"/>
              <w:rPr>
                <w:rFonts w:ascii="Times New Roman" w:hAnsi="Times New Roman"/>
                <w:sz w:val="24"/>
                <w:szCs w:val="24"/>
              </w:rPr>
            </w:pPr>
            <w:r w:rsidRPr="00270255">
              <w:rPr>
                <w:rFonts w:ascii="Times New Roman" w:hAnsi="Times New Roman"/>
                <w:sz w:val="24"/>
                <w:szCs w:val="24"/>
              </w:rPr>
              <w:t xml:space="preserve">kvalificerede andele uden for den finansielle sektor </w:t>
            </w:r>
          </w:p>
          <w:p w14:paraId="47FCB449" w14:textId="77777777" w:rsidR="002904F8" w:rsidRPr="00270255" w:rsidRDefault="002904F8" w:rsidP="00200B89">
            <w:pPr>
              <w:pStyle w:val="Listeafsnit"/>
              <w:numPr>
                <w:ilvl w:val="0"/>
                <w:numId w:val="3"/>
              </w:numPr>
              <w:ind w:left="743"/>
              <w:rPr>
                <w:rFonts w:ascii="Times New Roman" w:hAnsi="Times New Roman"/>
                <w:sz w:val="24"/>
                <w:szCs w:val="24"/>
              </w:rPr>
            </w:pPr>
            <w:r w:rsidRPr="00270255">
              <w:rPr>
                <w:rFonts w:ascii="Times New Roman" w:hAnsi="Times New Roman"/>
                <w:sz w:val="24"/>
                <w:szCs w:val="24"/>
              </w:rPr>
              <w:t xml:space="preserve">securitiseringspositioner </w:t>
            </w:r>
          </w:p>
          <w:p w14:paraId="449D1CD3" w14:textId="77777777" w:rsidR="002904F8" w:rsidRPr="00270255" w:rsidRDefault="002904F8" w:rsidP="00200B89">
            <w:pPr>
              <w:pStyle w:val="Listeafsnit"/>
              <w:numPr>
                <w:ilvl w:val="0"/>
                <w:numId w:val="3"/>
              </w:numPr>
              <w:ind w:left="743"/>
              <w:rPr>
                <w:rFonts w:ascii="Times New Roman" w:hAnsi="Times New Roman"/>
                <w:sz w:val="24"/>
                <w:szCs w:val="24"/>
              </w:rPr>
            </w:pPr>
            <w:r w:rsidRPr="00270255">
              <w:rPr>
                <w:rFonts w:ascii="Times New Roman" w:hAnsi="Times New Roman"/>
                <w:sz w:val="24"/>
                <w:szCs w:val="24"/>
              </w:rPr>
              <w:t>leveringsrisiko</w:t>
            </w:r>
          </w:p>
          <w:p w14:paraId="5A67AF5B" w14:textId="77777777" w:rsidR="002904F8" w:rsidRPr="00270255" w:rsidRDefault="002904F8" w:rsidP="00200B89">
            <w:pPr>
              <w:pStyle w:val="Listeafsnit"/>
              <w:numPr>
                <w:ilvl w:val="0"/>
                <w:numId w:val="3"/>
              </w:numPr>
              <w:ind w:left="743"/>
              <w:rPr>
                <w:rFonts w:ascii="Times New Roman" w:hAnsi="Times New Roman"/>
                <w:sz w:val="24"/>
                <w:szCs w:val="24"/>
              </w:rPr>
            </w:pPr>
            <w:r w:rsidRPr="00270255">
              <w:rPr>
                <w:rFonts w:ascii="Times New Roman" w:hAnsi="Times New Roman"/>
                <w:sz w:val="24"/>
                <w:szCs w:val="24"/>
              </w:rPr>
              <w:t>positioner i en kurv, for hvilke et institut ikke kan fastsætte risikovægten efter IRB-metoden</w:t>
            </w:r>
          </w:p>
          <w:p w14:paraId="56BF14B1" w14:textId="77777777" w:rsidR="00C66B65" w:rsidRDefault="001024AF" w:rsidP="00C66B65">
            <w:pPr>
              <w:pStyle w:val="Listeafsnit"/>
              <w:numPr>
                <w:ilvl w:val="0"/>
                <w:numId w:val="3"/>
              </w:numPr>
              <w:ind w:left="743"/>
              <w:rPr>
                <w:rFonts w:ascii="Times New Roman" w:hAnsi="Times New Roman"/>
                <w:sz w:val="24"/>
                <w:szCs w:val="24"/>
              </w:rPr>
            </w:pPr>
            <w:r w:rsidRPr="00270255">
              <w:rPr>
                <w:rFonts w:ascii="Times New Roman" w:hAnsi="Times New Roman"/>
                <w:sz w:val="24"/>
                <w:szCs w:val="24"/>
              </w:rPr>
              <w:t>a</w:t>
            </w:r>
            <w:r w:rsidR="002904F8" w:rsidRPr="00270255">
              <w:rPr>
                <w:rFonts w:ascii="Times New Roman" w:hAnsi="Times New Roman"/>
                <w:sz w:val="24"/>
                <w:szCs w:val="24"/>
              </w:rPr>
              <w:t>ktieeksponeringer efter en metode med interne modeller</w:t>
            </w:r>
            <w:r w:rsidR="00C453BD">
              <w:rPr>
                <w:rFonts w:ascii="Times New Roman" w:hAnsi="Times New Roman"/>
                <w:sz w:val="24"/>
                <w:szCs w:val="24"/>
              </w:rPr>
              <w:t>?</w:t>
            </w:r>
          </w:p>
          <w:p w14:paraId="7B89B3F2" w14:textId="77777777" w:rsidR="00C66B65" w:rsidRDefault="00C66B65" w:rsidP="00C66B65">
            <w:pPr>
              <w:pStyle w:val="Listeafsnit"/>
              <w:ind w:left="743"/>
              <w:rPr>
                <w:rFonts w:ascii="Times New Roman" w:hAnsi="Times New Roman"/>
                <w:sz w:val="24"/>
                <w:szCs w:val="24"/>
              </w:rPr>
            </w:pPr>
          </w:p>
          <w:p w14:paraId="6CC94F76" w14:textId="62360BDE" w:rsidR="00C66B65" w:rsidRDefault="00C66B65" w:rsidP="00C66B65">
            <w:pPr>
              <w:pStyle w:val="Listeafsnit"/>
              <w:ind w:left="743"/>
              <w:rPr>
                <w:rFonts w:ascii="Times New Roman" w:hAnsi="Times New Roman"/>
                <w:sz w:val="24"/>
                <w:szCs w:val="24"/>
              </w:rPr>
            </w:pPr>
          </w:p>
          <w:p w14:paraId="4E723DEE" w14:textId="1CD3C842" w:rsidR="00113BE6" w:rsidRDefault="00113BE6" w:rsidP="00C66B65">
            <w:pPr>
              <w:pStyle w:val="Listeafsnit"/>
              <w:ind w:left="743"/>
              <w:rPr>
                <w:rFonts w:ascii="Times New Roman" w:hAnsi="Times New Roman"/>
                <w:sz w:val="24"/>
                <w:szCs w:val="24"/>
              </w:rPr>
            </w:pPr>
          </w:p>
          <w:p w14:paraId="03B65197" w14:textId="43F5CED1" w:rsidR="00113BE6" w:rsidRDefault="00113BE6" w:rsidP="00C66B65">
            <w:pPr>
              <w:pStyle w:val="Listeafsnit"/>
              <w:ind w:left="743"/>
              <w:rPr>
                <w:rFonts w:ascii="Times New Roman" w:hAnsi="Times New Roman"/>
                <w:sz w:val="24"/>
                <w:szCs w:val="24"/>
              </w:rPr>
            </w:pPr>
          </w:p>
          <w:p w14:paraId="480C01EA" w14:textId="7C9BC289" w:rsidR="00113BE6" w:rsidRDefault="00113BE6" w:rsidP="00C66B65">
            <w:pPr>
              <w:pStyle w:val="Listeafsnit"/>
              <w:ind w:left="743"/>
              <w:rPr>
                <w:rFonts w:ascii="Times New Roman" w:hAnsi="Times New Roman"/>
                <w:sz w:val="24"/>
                <w:szCs w:val="24"/>
              </w:rPr>
            </w:pPr>
          </w:p>
          <w:p w14:paraId="7E82ED70" w14:textId="0CDAB6AF" w:rsidR="00113BE6" w:rsidRDefault="00113BE6" w:rsidP="00C66B65">
            <w:pPr>
              <w:pStyle w:val="Listeafsnit"/>
              <w:ind w:left="743"/>
              <w:rPr>
                <w:rFonts w:ascii="Times New Roman" w:hAnsi="Times New Roman"/>
                <w:sz w:val="24"/>
                <w:szCs w:val="24"/>
              </w:rPr>
            </w:pPr>
          </w:p>
          <w:p w14:paraId="3D9F12D8" w14:textId="37CF32A9" w:rsidR="00113BE6" w:rsidRDefault="00113BE6" w:rsidP="00C66B65">
            <w:pPr>
              <w:pStyle w:val="Listeafsnit"/>
              <w:ind w:left="743"/>
              <w:rPr>
                <w:rFonts w:ascii="Times New Roman" w:hAnsi="Times New Roman"/>
                <w:sz w:val="24"/>
                <w:szCs w:val="24"/>
              </w:rPr>
            </w:pPr>
          </w:p>
          <w:p w14:paraId="22D75BF5" w14:textId="4029A95E" w:rsidR="00113BE6" w:rsidRDefault="00113BE6" w:rsidP="00C66B65">
            <w:pPr>
              <w:pStyle w:val="Listeafsnit"/>
              <w:ind w:left="743"/>
              <w:rPr>
                <w:rFonts w:ascii="Times New Roman" w:hAnsi="Times New Roman"/>
                <w:sz w:val="24"/>
                <w:szCs w:val="24"/>
              </w:rPr>
            </w:pPr>
          </w:p>
          <w:p w14:paraId="19536194" w14:textId="544BF3E8" w:rsidR="00113BE6" w:rsidRDefault="00113BE6" w:rsidP="00C66B65">
            <w:pPr>
              <w:pStyle w:val="Listeafsnit"/>
              <w:ind w:left="743"/>
              <w:rPr>
                <w:rFonts w:ascii="Times New Roman" w:hAnsi="Times New Roman"/>
                <w:sz w:val="24"/>
                <w:szCs w:val="24"/>
              </w:rPr>
            </w:pPr>
          </w:p>
          <w:p w14:paraId="00D8F41C" w14:textId="77777777" w:rsidR="00113BE6" w:rsidRPr="00C66B65" w:rsidRDefault="00113BE6" w:rsidP="00C66B65">
            <w:pPr>
              <w:pStyle w:val="Listeafsnit"/>
              <w:ind w:left="743"/>
              <w:rPr>
                <w:rFonts w:ascii="Times New Roman" w:hAnsi="Times New Roman"/>
                <w:sz w:val="24"/>
                <w:szCs w:val="24"/>
              </w:rPr>
            </w:pPr>
          </w:p>
          <w:p w14:paraId="01FA4826" w14:textId="77777777" w:rsidR="00D116A2" w:rsidRPr="00270255" w:rsidRDefault="00D116A2" w:rsidP="00D116A2">
            <w:pPr>
              <w:pStyle w:val="Listeafsnit"/>
              <w:ind w:left="743"/>
              <w:rPr>
                <w:rFonts w:ascii="Times New Roman" w:hAnsi="Times New Roman"/>
                <w:sz w:val="24"/>
                <w:szCs w:val="24"/>
              </w:rPr>
            </w:pPr>
          </w:p>
        </w:tc>
        <w:tc>
          <w:tcPr>
            <w:tcW w:w="851" w:type="dxa"/>
          </w:tcPr>
          <w:p w14:paraId="79AE8B08" w14:textId="77777777" w:rsidR="00070851" w:rsidRPr="00270255" w:rsidRDefault="00070851"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381898B6" w14:textId="77777777" w:rsidR="00070851" w:rsidRPr="00270255" w:rsidRDefault="00070851" w:rsidP="00A81CA0"/>
        </w:tc>
        <w:tc>
          <w:tcPr>
            <w:tcW w:w="6946" w:type="dxa"/>
          </w:tcPr>
          <w:p w14:paraId="22A750C4" w14:textId="77777777" w:rsidR="00070851" w:rsidRPr="00270255" w:rsidRDefault="00070851" w:rsidP="00A81CA0">
            <w:pPr>
              <w:snapToGrid w:val="0"/>
            </w:pPr>
            <w:r w:rsidRPr="00270255">
              <w:t>Redegørelse</w:t>
            </w:r>
          </w:p>
          <w:p w14:paraId="07D23018" w14:textId="77777777" w:rsidR="00070851" w:rsidRPr="00270255" w:rsidRDefault="0007085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58BC7BC" w14:textId="77777777" w:rsidR="00070851" w:rsidRPr="00270255" w:rsidRDefault="00070851" w:rsidP="00A81CA0">
            <w:pPr>
              <w:snapToGrid w:val="0"/>
            </w:pPr>
          </w:p>
        </w:tc>
        <w:tc>
          <w:tcPr>
            <w:tcW w:w="2268" w:type="dxa"/>
          </w:tcPr>
          <w:p w14:paraId="7E7A47EB" w14:textId="77777777" w:rsidR="00070851" w:rsidRPr="00270255" w:rsidRDefault="00070851" w:rsidP="00A81CA0">
            <w:pPr>
              <w:snapToGrid w:val="0"/>
            </w:pPr>
            <w:r w:rsidRPr="00270255">
              <w:t>Forbeholdt Finanstilsynet</w:t>
            </w:r>
          </w:p>
          <w:p w14:paraId="3425ED4B" w14:textId="77777777" w:rsidR="00070851" w:rsidRPr="00270255" w:rsidRDefault="0007085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070851" w:rsidRPr="00270255" w14:paraId="4DA73764" w14:textId="77777777" w:rsidTr="00A81CA0">
        <w:tc>
          <w:tcPr>
            <w:tcW w:w="3544" w:type="dxa"/>
          </w:tcPr>
          <w:p w14:paraId="4C258037" w14:textId="77777777" w:rsidR="00E6095F" w:rsidRPr="00270255" w:rsidRDefault="00E6095F" w:rsidP="00E6095F">
            <w:pPr>
              <w:rPr>
                <w:b/>
                <w:u w:val="single"/>
              </w:rPr>
            </w:pPr>
            <w:r w:rsidRPr="00270255">
              <w:rPr>
                <w:b/>
                <w:u w:val="single"/>
              </w:rPr>
              <w:lastRenderedPageBreak/>
              <w:t xml:space="preserve">Spørgsmål </w:t>
            </w:r>
            <w:r w:rsidR="00B54D5C">
              <w:rPr>
                <w:b/>
                <w:u w:val="single"/>
              </w:rPr>
              <w:t>6</w:t>
            </w:r>
            <w:r w:rsidRPr="00270255">
              <w:rPr>
                <w:b/>
                <w:u w:val="single"/>
              </w:rPr>
              <w:t>.1</w:t>
            </w:r>
            <w:r w:rsidR="00FD47F8" w:rsidRPr="00270255">
              <w:rPr>
                <w:b/>
                <w:u w:val="single"/>
              </w:rPr>
              <w:t>2</w:t>
            </w:r>
            <w:r w:rsidRPr="00270255">
              <w:rPr>
                <w:b/>
                <w:u w:val="single"/>
              </w:rPr>
              <w:t>:</w:t>
            </w:r>
          </w:p>
          <w:p w14:paraId="55B490C6" w14:textId="77777777" w:rsidR="00070851" w:rsidRPr="00270255" w:rsidRDefault="00E03CCA" w:rsidP="002904F8">
            <w:r w:rsidRPr="00270255">
              <w:t>Art. 36, l</w:t>
            </w:r>
            <w:r w:rsidR="00E6095F" w:rsidRPr="00270255">
              <w:t xml:space="preserve">itra l - </w:t>
            </w:r>
            <w:r w:rsidR="002904F8" w:rsidRPr="00270255">
              <w:t>Enhver form for skat på kernekapitalposter, som kan forudses på beregningstidspunktet, undtagen når instituttet behørigt tilpasser størrelsen af de egentlige kernekapitalposter, hvis skatten reducerer det beløb, hvormed disse poster kan anvendes til dækning af risici eller tab</w:t>
            </w:r>
            <w:r w:rsidR="00D116A2" w:rsidRPr="00270255">
              <w:t>?</w:t>
            </w:r>
          </w:p>
          <w:p w14:paraId="0B22F11F" w14:textId="77777777" w:rsidR="00D116A2" w:rsidRDefault="00D116A2" w:rsidP="002904F8"/>
          <w:p w14:paraId="5688E909" w14:textId="77777777" w:rsidR="00DB0A06" w:rsidRPr="00270255" w:rsidRDefault="00DB0A06" w:rsidP="002904F8"/>
        </w:tc>
        <w:tc>
          <w:tcPr>
            <w:tcW w:w="851" w:type="dxa"/>
          </w:tcPr>
          <w:p w14:paraId="5D60CFA4" w14:textId="77777777" w:rsidR="00070851" w:rsidRPr="00270255" w:rsidRDefault="00070851"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660AAA75" w14:textId="77777777" w:rsidR="00070851" w:rsidRPr="00270255" w:rsidRDefault="00070851" w:rsidP="00A81CA0"/>
        </w:tc>
        <w:tc>
          <w:tcPr>
            <w:tcW w:w="6946" w:type="dxa"/>
          </w:tcPr>
          <w:p w14:paraId="423A2937" w14:textId="77777777" w:rsidR="00070851" w:rsidRPr="00270255" w:rsidRDefault="00070851" w:rsidP="00A81CA0">
            <w:pPr>
              <w:snapToGrid w:val="0"/>
            </w:pPr>
            <w:r w:rsidRPr="00270255">
              <w:t>Redegørelse</w:t>
            </w:r>
          </w:p>
          <w:p w14:paraId="4C4BED3C" w14:textId="77777777" w:rsidR="00070851" w:rsidRPr="00270255" w:rsidRDefault="0007085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17D8F0DD" w14:textId="77777777" w:rsidR="00070851" w:rsidRPr="00270255" w:rsidRDefault="00070851" w:rsidP="00A81CA0">
            <w:pPr>
              <w:snapToGrid w:val="0"/>
            </w:pPr>
          </w:p>
        </w:tc>
        <w:tc>
          <w:tcPr>
            <w:tcW w:w="2268" w:type="dxa"/>
          </w:tcPr>
          <w:p w14:paraId="789D0E7F" w14:textId="77777777" w:rsidR="00070851" w:rsidRPr="00270255" w:rsidRDefault="00070851" w:rsidP="00A81CA0">
            <w:pPr>
              <w:snapToGrid w:val="0"/>
            </w:pPr>
            <w:r w:rsidRPr="00270255">
              <w:t>Forbeholdt Finanstilsynet</w:t>
            </w:r>
          </w:p>
          <w:p w14:paraId="3C421187" w14:textId="77777777" w:rsidR="00070851" w:rsidRPr="00270255" w:rsidRDefault="00070851"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B9678E" w:rsidRPr="00270255" w14:paraId="2EABF07D" w14:textId="77777777" w:rsidTr="00A81CA0">
        <w:tc>
          <w:tcPr>
            <w:tcW w:w="3544" w:type="dxa"/>
          </w:tcPr>
          <w:p w14:paraId="2304DEE2" w14:textId="77777777" w:rsidR="00B9678E" w:rsidRDefault="00B9678E" w:rsidP="00B9678E">
            <w:pPr>
              <w:rPr>
                <w:b/>
                <w:u w:val="single"/>
              </w:rPr>
            </w:pPr>
            <w:r>
              <w:rPr>
                <w:b/>
                <w:u w:val="single"/>
              </w:rPr>
              <w:t>Spørgsmål 6.13</w:t>
            </w:r>
          </w:p>
          <w:p w14:paraId="0CE738A1" w14:textId="77777777" w:rsidR="00B9678E" w:rsidRDefault="00B9678E" w:rsidP="00B9678E">
            <w:r>
              <w:t xml:space="preserve">Art. 36, litra m - </w:t>
            </w:r>
            <w:r w:rsidR="00AA2C03">
              <w:t>D</w:t>
            </w:r>
            <w:r w:rsidRPr="00B9678E">
              <w:t>et relevante beløb for utilstrækkelig dækning af misligholdte eksponeringer</w:t>
            </w:r>
            <w:r>
              <w:t>?</w:t>
            </w:r>
          </w:p>
          <w:p w14:paraId="11671EE9" w14:textId="77777777" w:rsidR="00B9678E" w:rsidRDefault="00BF7179" w:rsidP="00E83994">
            <w:r>
              <w:t>(</w:t>
            </w:r>
            <w:r w:rsidRPr="00BF7179">
              <w:t xml:space="preserve">Overgangsordning indebærer, at </w:t>
            </w:r>
            <w:r>
              <w:t>der t</w:t>
            </w:r>
            <w:r w:rsidRPr="00BF7179">
              <w:t xml:space="preserve">idligst </w:t>
            </w:r>
            <w:r>
              <w:t>skal beregnes</w:t>
            </w:r>
            <w:r w:rsidRPr="00BF7179">
              <w:t xml:space="preserve"> fradrag som følge af minimumsdækning af tab </w:t>
            </w:r>
            <w:r w:rsidR="00E83994">
              <w:t xml:space="preserve">fra og med </w:t>
            </w:r>
            <w:r w:rsidRPr="00BF7179">
              <w:t>den 26. april 2021.</w:t>
            </w:r>
            <w:r>
              <w:t>)</w:t>
            </w:r>
          </w:p>
          <w:p w14:paraId="1D7438A1" w14:textId="759C8A00" w:rsidR="00113BE6" w:rsidRPr="00C9185F" w:rsidRDefault="00113BE6" w:rsidP="00E83994"/>
        </w:tc>
        <w:tc>
          <w:tcPr>
            <w:tcW w:w="851" w:type="dxa"/>
          </w:tcPr>
          <w:p w14:paraId="0EAD3E8D" w14:textId="77777777" w:rsidR="00B9678E" w:rsidRPr="00270255" w:rsidRDefault="00B9678E" w:rsidP="00B9678E">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27455455" w14:textId="77777777" w:rsidR="00B9678E" w:rsidRPr="00270255" w:rsidRDefault="00B9678E" w:rsidP="00B9678E"/>
        </w:tc>
        <w:tc>
          <w:tcPr>
            <w:tcW w:w="6946" w:type="dxa"/>
          </w:tcPr>
          <w:p w14:paraId="29C101B2" w14:textId="77777777" w:rsidR="00B9678E" w:rsidRPr="00270255" w:rsidRDefault="00B9678E" w:rsidP="00B9678E">
            <w:pPr>
              <w:snapToGrid w:val="0"/>
            </w:pPr>
            <w:r w:rsidRPr="00270255">
              <w:t>Redegørelse</w:t>
            </w:r>
          </w:p>
          <w:p w14:paraId="6C6AC1B5" w14:textId="77777777" w:rsidR="00B9678E" w:rsidRPr="00270255" w:rsidRDefault="00B9678E" w:rsidP="00B9678E">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69637DC" w14:textId="77777777" w:rsidR="00B9678E" w:rsidRPr="00270255" w:rsidRDefault="00B9678E" w:rsidP="00B9678E">
            <w:pPr>
              <w:snapToGrid w:val="0"/>
            </w:pPr>
          </w:p>
        </w:tc>
        <w:tc>
          <w:tcPr>
            <w:tcW w:w="2268" w:type="dxa"/>
          </w:tcPr>
          <w:p w14:paraId="5BE9DD8B" w14:textId="77777777" w:rsidR="00B9678E" w:rsidRPr="00270255" w:rsidRDefault="00B9678E" w:rsidP="00B9678E">
            <w:pPr>
              <w:snapToGrid w:val="0"/>
            </w:pPr>
            <w:r w:rsidRPr="00270255">
              <w:t>Forbeholdt Finanstilsynet</w:t>
            </w:r>
          </w:p>
          <w:p w14:paraId="35E5098B" w14:textId="77777777" w:rsidR="00B9678E" w:rsidRPr="00270255" w:rsidRDefault="00B9678E" w:rsidP="00B9678E">
            <w:pPr>
              <w:snapToGrid w:val="0"/>
            </w:pPr>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B75A62" w:rsidRPr="00270255" w14:paraId="30324493" w14:textId="77777777" w:rsidTr="00A81CA0">
        <w:tc>
          <w:tcPr>
            <w:tcW w:w="13609" w:type="dxa"/>
            <w:gridSpan w:val="4"/>
          </w:tcPr>
          <w:p w14:paraId="1535C0D5" w14:textId="77777777" w:rsidR="00D116A2" w:rsidRDefault="00B75A62" w:rsidP="00A81CA0">
            <w:pPr>
              <w:snapToGrid w:val="0"/>
              <w:rPr>
                <w:b/>
              </w:rPr>
            </w:pPr>
            <w:r w:rsidRPr="00270255">
              <w:rPr>
                <w:b/>
              </w:rPr>
              <w:t xml:space="preserve">Supplerende spørgsmål om fradrag i </w:t>
            </w:r>
            <w:r w:rsidR="000D5019" w:rsidRPr="00270255">
              <w:rPr>
                <w:b/>
              </w:rPr>
              <w:t>e</w:t>
            </w:r>
            <w:r w:rsidRPr="00270255">
              <w:rPr>
                <w:b/>
              </w:rPr>
              <w:t>gentlig kernekapital</w:t>
            </w:r>
          </w:p>
          <w:p w14:paraId="4A33618D" w14:textId="77777777" w:rsidR="00DB0A06" w:rsidRPr="00270255" w:rsidRDefault="00DB0A06" w:rsidP="00A81CA0">
            <w:pPr>
              <w:snapToGrid w:val="0"/>
              <w:rPr>
                <w:b/>
              </w:rPr>
            </w:pPr>
          </w:p>
        </w:tc>
      </w:tr>
      <w:tr w:rsidR="009E6F55" w:rsidRPr="00270255" w14:paraId="2E6F9ABF" w14:textId="77777777" w:rsidTr="00A81CA0">
        <w:tc>
          <w:tcPr>
            <w:tcW w:w="3544" w:type="dxa"/>
          </w:tcPr>
          <w:p w14:paraId="137D99E4" w14:textId="05A24623" w:rsidR="009E6F55" w:rsidRPr="00270255" w:rsidRDefault="009E6F55" w:rsidP="00907A1A">
            <w:pPr>
              <w:rPr>
                <w:b/>
                <w:u w:val="single"/>
              </w:rPr>
            </w:pPr>
            <w:r w:rsidRPr="00270255">
              <w:rPr>
                <w:b/>
                <w:u w:val="single"/>
              </w:rPr>
              <w:t xml:space="preserve">Spørgsmål </w:t>
            </w:r>
            <w:r w:rsidR="00B54D5C">
              <w:rPr>
                <w:b/>
                <w:u w:val="single"/>
              </w:rPr>
              <w:t>6</w:t>
            </w:r>
            <w:r w:rsidRPr="00270255">
              <w:rPr>
                <w:b/>
                <w:u w:val="single"/>
              </w:rPr>
              <w:t>.</w:t>
            </w:r>
            <w:r w:rsidR="00B9678E" w:rsidRPr="00270255">
              <w:rPr>
                <w:b/>
                <w:u w:val="single"/>
              </w:rPr>
              <w:t>1</w:t>
            </w:r>
            <w:r w:rsidR="00B9678E">
              <w:rPr>
                <w:b/>
                <w:u w:val="single"/>
              </w:rPr>
              <w:t>4</w:t>
            </w:r>
            <w:r w:rsidRPr="00270255">
              <w:rPr>
                <w:b/>
                <w:u w:val="single"/>
              </w:rPr>
              <w:t>:</w:t>
            </w:r>
          </w:p>
          <w:p w14:paraId="5485752D" w14:textId="77777777" w:rsidR="009E6F55" w:rsidRDefault="009E6F55" w:rsidP="009E6F55">
            <w:r w:rsidRPr="00270255">
              <w:t>Gør instituttet brug af tærskelbeløbet i artikel 48 i relation til fradrag for udskudte skatteaktiver, som afhænger af fremtidig rentabilitet og som skyldes midlertidige forskelle, samt fradrag for væsentlige investeringer i enheder i den finansielle sektor?</w:t>
            </w:r>
          </w:p>
          <w:p w14:paraId="0ACF0263" w14:textId="5013C95C" w:rsidR="00D116A2" w:rsidRPr="00270255" w:rsidRDefault="00D116A2" w:rsidP="009E6F55">
            <w:pPr>
              <w:rPr>
                <w:b/>
                <w:u w:val="single"/>
              </w:rPr>
            </w:pPr>
          </w:p>
        </w:tc>
        <w:tc>
          <w:tcPr>
            <w:tcW w:w="851" w:type="dxa"/>
          </w:tcPr>
          <w:p w14:paraId="429B4131" w14:textId="77777777" w:rsidR="009E6F55" w:rsidRPr="00270255" w:rsidRDefault="009E6F55" w:rsidP="00907A1A">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5920DB9A" w14:textId="77777777" w:rsidR="009E6F55" w:rsidRPr="00270255" w:rsidRDefault="009E6F55" w:rsidP="00907A1A"/>
        </w:tc>
        <w:tc>
          <w:tcPr>
            <w:tcW w:w="6946" w:type="dxa"/>
          </w:tcPr>
          <w:p w14:paraId="5C9584E0" w14:textId="77777777" w:rsidR="009E6F55" w:rsidRPr="00270255" w:rsidRDefault="009E6F55" w:rsidP="00907A1A">
            <w:pPr>
              <w:snapToGrid w:val="0"/>
            </w:pPr>
            <w:r w:rsidRPr="00270255">
              <w:t>Redegørelse</w:t>
            </w:r>
          </w:p>
          <w:p w14:paraId="6F176EB9" w14:textId="77777777" w:rsidR="009E6F55" w:rsidRPr="00270255" w:rsidRDefault="009E6F55" w:rsidP="00907A1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70FF97E1" w14:textId="77777777" w:rsidR="009E6F55" w:rsidRPr="00270255" w:rsidRDefault="009E6F55" w:rsidP="00907A1A">
            <w:pPr>
              <w:snapToGrid w:val="0"/>
            </w:pPr>
          </w:p>
        </w:tc>
        <w:tc>
          <w:tcPr>
            <w:tcW w:w="2268" w:type="dxa"/>
          </w:tcPr>
          <w:p w14:paraId="18728981" w14:textId="77777777" w:rsidR="009E6F55" w:rsidRPr="00270255" w:rsidRDefault="009E6F55" w:rsidP="00907A1A">
            <w:pPr>
              <w:snapToGrid w:val="0"/>
            </w:pPr>
            <w:r w:rsidRPr="00270255">
              <w:t>Forbeholdt Finanstilsynet</w:t>
            </w:r>
          </w:p>
          <w:p w14:paraId="7D11C997" w14:textId="77777777" w:rsidR="009E6F55" w:rsidRPr="00270255" w:rsidRDefault="009E6F55" w:rsidP="00907A1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9E6F55" w:rsidRPr="00270255" w14:paraId="2E4D499D" w14:textId="77777777" w:rsidTr="00A81CA0">
        <w:tc>
          <w:tcPr>
            <w:tcW w:w="3544" w:type="dxa"/>
          </w:tcPr>
          <w:p w14:paraId="0A9052A7" w14:textId="0CCA5E6D" w:rsidR="009E6F55" w:rsidRPr="00270255" w:rsidRDefault="009E6F55" w:rsidP="00A81CA0">
            <w:pPr>
              <w:rPr>
                <w:b/>
                <w:u w:val="single"/>
              </w:rPr>
            </w:pPr>
            <w:r w:rsidRPr="00270255">
              <w:rPr>
                <w:b/>
                <w:u w:val="single"/>
              </w:rPr>
              <w:lastRenderedPageBreak/>
              <w:t xml:space="preserve">Spørgsmål </w:t>
            </w:r>
            <w:r w:rsidR="00B54D5C">
              <w:rPr>
                <w:b/>
                <w:u w:val="single"/>
              </w:rPr>
              <w:t>6</w:t>
            </w:r>
            <w:r w:rsidRPr="00270255">
              <w:rPr>
                <w:b/>
                <w:u w:val="single"/>
              </w:rPr>
              <w:t>.</w:t>
            </w:r>
            <w:r w:rsidR="00B9678E" w:rsidRPr="00270255">
              <w:rPr>
                <w:b/>
                <w:u w:val="single"/>
              </w:rPr>
              <w:t>1</w:t>
            </w:r>
            <w:r w:rsidR="00B9678E">
              <w:rPr>
                <w:b/>
                <w:u w:val="single"/>
              </w:rPr>
              <w:t>5</w:t>
            </w:r>
            <w:r w:rsidRPr="00270255">
              <w:rPr>
                <w:b/>
                <w:u w:val="single"/>
              </w:rPr>
              <w:t>:</w:t>
            </w:r>
          </w:p>
          <w:p w14:paraId="5DBF8C29" w14:textId="77777777" w:rsidR="00D116A2" w:rsidRPr="00270255" w:rsidRDefault="009E6F55" w:rsidP="001024AF">
            <w:r w:rsidRPr="00270255">
              <w:t>Gør instituttet brug af en af undtagelserne i artikel 49 for at fr</w:t>
            </w:r>
            <w:r w:rsidR="00FA0028">
              <w:t>a</w:t>
            </w:r>
            <w:r w:rsidRPr="00270255">
              <w:t>trække besiddelser af kapitalinstrumenter i forsikringsselskaber eller andre enheder i den finansielle sektor, der er omfattet af konsolideret tilsyn?</w:t>
            </w:r>
          </w:p>
          <w:p w14:paraId="1870E347" w14:textId="77777777" w:rsidR="009E6F55" w:rsidRPr="00270255" w:rsidRDefault="009E6F55" w:rsidP="001024AF">
            <w:pPr>
              <w:rPr>
                <w:b/>
                <w:u w:val="single"/>
              </w:rPr>
            </w:pPr>
            <w:r w:rsidRPr="00270255">
              <w:t xml:space="preserve"> </w:t>
            </w:r>
          </w:p>
        </w:tc>
        <w:tc>
          <w:tcPr>
            <w:tcW w:w="851" w:type="dxa"/>
          </w:tcPr>
          <w:p w14:paraId="3DCBE13A" w14:textId="77777777" w:rsidR="009E6F55" w:rsidRPr="00270255" w:rsidRDefault="009E6F55"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518C3E05" w14:textId="77777777" w:rsidR="009E6F55" w:rsidRPr="00270255" w:rsidRDefault="009E6F55" w:rsidP="00A81CA0"/>
        </w:tc>
        <w:tc>
          <w:tcPr>
            <w:tcW w:w="6946" w:type="dxa"/>
          </w:tcPr>
          <w:p w14:paraId="0C341864" w14:textId="77777777" w:rsidR="009E6F55" w:rsidRPr="00270255" w:rsidRDefault="009E6F55" w:rsidP="00A81CA0">
            <w:pPr>
              <w:snapToGrid w:val="0"/>
            </w:pPr>
            <w:r w:rsidRPr="00270255">
              <w:t>Redegørelse</w:t>
            </w:r>
          </w:p>
          <w:p w14:paraId="45986E3F" w14:textId="77777777" w:rsidR="009E6F55" w:rsidRPr="00270255" w:rsidRDefault="009E6F55"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03CA5064" w14:textId="77777777" w:rsidR="009E6F55" w:rsidRPr="00270255" w:rsidRDefault="009E6F55" w:rsidP="00A81CA0">
            <w:pPr>
              <w:snapToGrid w:val="0"/>
            </w:pPr>
          </w:p>
        </w:tc>
        <w:tc>
          <w:tcPr>
            <w:tcW w:w="2268" w:type="dxa"/>
          </w:tcPr>
          <w:p w14:paraId="037AB638" w14:textId="77777777" w:rsidR="009E6F55" w:rsidRPr="00270255" w:rsidRDefault="009E6F55" w:rsidP="00A81CA0">
            <w:pPr>
              <w:snapToGrid w:val="0"/>
            </w:pPr>
            <w:r w:rsidRPr="00270255">
              <w:t>Forbeholdt Finanstilsynet</w:t>
            </w:r>
          </w:p>
          <w:p w14:paraId="15AD2410" w14:textId="77777777" w:rsidR="009E6F55" w:rsidRPr="00270255" w:rsidRDefault="009E6F55"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660DD0AB" w14:textId="77777777" w:rsidR="00E83994" w:rsidRDefault="00E83994" w:rsidP="00083E63"/>
    <w:p w14:paraId="3B0B18A6" w14:textId="77777777" w:rsidR="00E83994" w:rsidRDefault="00E83994">
      <w:r>
        <w:br w:type="page"/>
      </w:r>
    </w:p>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FC6314" w:rsidRPr="00270255" w14:paraId="615C0525" w14:textId="77777777" w:rsidTr="00A81CA0">
        <w:tc>
          <w:tcPr>
            <w:tcW w:w="13609" w:type="dxa"/>
            <w:gridSpan w:val="4"/>
          </w:tcPr>
          <w:p w14:paraId="33BD5AB1" w14:textId="77777777" w:rsidR="00FC6314" w:rsidRPr="00270255" w:rsidRDefault="00FC6314" w:rsidP="00A470FB">
            <w:pPr>
              <w:pStyle w:val="Overskrift1"/>
              <w:numPr>
                <w:ilvl w:val="0"/>
                <w:numId w:val="2"/>
              </w:numPr>
              <w:rPr>
                <w:rFonts w:cs="Times New Roman"/>
                <w:szCs w:val="24"/>
              </w:rPr>
            </w:pPr>
            <w:r w:rsidRPr="00270255">
              <w:rPr>
                <w:rFonts w:cs="Times New Roman"/>
                <w:szCs w:val="24"/>
              </w:rPr>
              <w:lastRenderedPageBreak/>
              <w:t>Hybride kernekapitalinstrumenter</w:t>
            </w:r>
            <w:r w:rsidR="00F706E8">
              <w:rPr>
                <w:rFonts w:cs="Times New Roman"/>
                <w:szCs w:val="24"/>
              </w:rPr>
              <w:t xml:space="preserve"> (Hvis instituttet ikke har udstedt hybride kernekapitalinstrumenter, kan besvarelse af afsnit 7 springes over)</w:t>
            </w:r>
          </w:p>
          <w:p w14:paraId="024D0F99" w14:textId="77777777" w:rsidR="00D22627" w:rsidRPr="00270255" w:rsidRDefault="00D22627" w:rsidP="00D22627"/>
        </w:tc>
      </w:tr>
      <w:tr w:rsidR="007B41CE" w:rsidRPr="00270255" w14:paraId="0685B05E" w14:textId="77777777" w:rsidTr="00A81CA0">
        <w:tc>
          <w:tcPr>
            <w:tcW w:w="13609" w:type="dxa"/>
            <w:gridSpan w:val="4"/>
          </w:tcPr>
          <w:p w14:paraId="223E4EDD" w14:textId="77777777" w:rsidR="007B41CE" w:rsidRPr="00270255" w:rsidRDefault="007B41CE" w:rsidP="00A81CA0">
            <w:pPr>
              <w:pStyle w:val="Brdtekst"/>
              <w:rPr>
                <w:rFonts w:ascii="Times New Roman" w:hAnsi="Times New Roman"/>
                <w:sz w:val="24"/>
                <w:szCs w:val="24"/>
              </w:rPr>
            </w:pPr>
            <w:r w:rsidRPr="00270255">
              <w:rPr>
                <w:rFonts w:ascii="Times New Roman" w:hAnsi="Times New Roman"/>
                <w:sz w:val="24"/>
                <w:szCs w:val="24"/>
              </w:rPr>
              <w:t>Ifølge CRR, artikel 52, stk. 1, kvalificeres kapitalinstrumenter kun som hybride kernekapitalinstrumenter, såfremt en række betingelser er opfyldt.</w:t>
            </w:r>
          </w:p>
          <w:p w14:paraId="4B642669" w14:textId="77777777" w:rsidR="007B41CE" w:rsidRPr="00270255" w:rsidRDefault="007B41CE" w:rsidP="00A81CA0">
            <w:pPr>
              <w:pStyle w:val="Brdtekst"/>
              <w:rPr>
                <w:rFonts w:ascii="Times New Roman" w:hAnsi="Times New Roman"/>
                <w:sz w:val="24"/>
                <w:szCs w:val="24"/>
              </w:rPr>
            </w:pPr>
          </w:p>
          <w:p w14:paraId="5C2277D7" w14:textId="4A953E0F"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Instrumenterne er udstedt</w:t>
            </w:r>
            <w:r w:rsidR="00E71920">
              <w:rPr>
                <w:rFonts w:ascii="Times New Roman" w:hAnsi="Times New Roman"/>
                <w:sz w:val="24"/>
                <w:szCs w:val="24"/>
              </w:rPr>
              <w:t xml:space="preserve"> direkte af et institut</w:t>
            </w:r>
            <w:r w:rsidRPr="00270255">
              <w:rPr>
                <w:rFonts w:ascii="Times New Roman" w:hAnsi="Times New Roman"/>
                <w:sz w:val="24"/>
                <w:szCs w:val="24"/>
              </w:rPr>
              <w:t xml:space="preserve"> og </w:t>
            </w:r>
            <w:r w:rsidR="00E71920">
              <w:rPr>
                <w:rFonts w:ascii="Times New Roman" w:hAnsi="Times New Roman"/>
                <w:sz w:val="24"/>
                <w:szCs w:val="24"/>
              </w:rPr>
              <w:t>fuldt ind</w:t>
            </w:r>
            <w:r w:rsidRPr="00270255">
              <w:rPr>
                <w:rFonts w:ascii="Times New Roman" w:hAnsi="Times New Roman"/>
                <w:sz w:val="24"/>
                <w:szCs w:val="24"/>
              </w:rPr>
              <w:t>betalt</w:t>
            </w:r>
          </w:p>
          <w:p w14:paraId="315C49F3" w14:textId="5A7AA3B5"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Ingen af følgende </w:t>
            </w:r>
            <w:r w:rsidR="000672A3">
              <w:rPr>
                <w:rFonts w:ascii="Times New Roman" w:hAnsi="Times New Roman"/>
                <w:sz w:val="24"/>
                <w:szCs w:val="24"/>
              </w:rPr>
              <w:t>ejer</w:t>
            </w:r>
            <w:r w:rsidRPr="00270255">
              <w:rPr>
                <w:rFonts w:ascii="Times New Roman" w:hAnsi="Times New Roman"/>
                <w:sz w:val="24"/>
                <w:szCs w:val="24"/>
              </w:rPr>
              <w:t xml:space="preserve"> instrumenterne: </w:t>
            </w:r>
          </w:p>
          <w:p w14:paraId="3C8DB6C2" w14:textId="77777777" w:rsidR="00CC2AED" w:rsidRPr="00270255" w:rsidRDefault="00CC2AED" w:rsidP="00200B89">
            <w:pPr>
              <w:pStyle w:val="Brdtekst"/>
              <w:numPr>
                <w:ilvl w:val="0"/>
                <w:numId w:val="17"/>
              </w:numPr>
              <w:ind w:left="1452"/>
              <w:rPr>
                <w:rFonts w:ascii="Times New Roman" w:hAnsi="Times New Roman"/>
                <w:sz w:val="24"/>
                <w:szCs w:val="24"/>
              </w:rPr>
            </w:pPr>
            <w:r w:rsidRPr="00270255">
              <w:rPr>
                <w:rFonts w:ascii="Times New Roman" w:hAnsi="Times New Roman"/>
                <w:sz w:val="24"/>
                <w:szCs w:val="24"/>
              </w:rPr>
              <w:t xml:space="preserve">instituttet eller dets datterselskaber </w:t>
            </w:r>
          </w:p>
          <w:p w14:paraId="23A91542" w14:textId="77777777" w:rsidR="00CC2AED" w:rsidRPr="00270255" w:rsidRDefault="00CC2AED" w:rsidP="00200B89">
            <w:pPr>
              <w:pStyle w:val="Brdtekst"/>
              <w:numPr>
                <w:ilvl w:val="0"/>
                <w:numId w:val="17"/>
              </w:numPr>
              <w:ind w:left="1452"/>
              <w:rPr>
                <w:rFonts w:ascii="Times New Roman" w:hAnsi="Times New Roman"/>
                <w:sz w:val="24"/>
                <w:szCs w:val="24"/>
              </w:rPr>
            </w:pPr>
            <w:r w:rsidRPr="00270255">
              <w:rPr>
                <w:rFonts w:ascii="Times New Roman" w:hAnsi="Times New Roman"/>
                <w:sz w:val="24"/>
                <w:szCs w:val="24"/>
              </w:rPr>
              <w:t xml:space="preserve">en virksomhed, hvori instituttet har kapitalinteresser i form af mindst 20 % af stemmerettighederne eller kapitalen i virksomheden, enten direkte eller gennem kontrol. </w:t>
            </w:r>
          </w:p>
          <w:p w14:paraId="28A14438" w14:textId="2DE743ED" w:rsidR="00CC2AED" w:rsidRPr="00270255" w:rsidRDefault="000672A3" w:rsidP="00200B89">
            <w:pPr>
              <w:pStyle w:val="Brdtekst"/>
              <w:numPr>
                <w:ilvl w:val="0"/>
                <w:numId w:val="16"/>
              </w:numPr>
              <w:ind w:left="885"/>
              <w:rPr>
                <w:rFonts w:ascii="Times New Roman" w:hAnsi="Times New Roman"/>
                <w:sz w:val="24"/>
                <w:szCs w:val="24"/>
              </w:rPr>
            </w:pPr>
            <w:r>
              <w:rPr>
                <w:rFonts w:ascii="Times New Roman" w:hAnsi="Times New Roman"/>
                <w:sz w:val="24"/>
                <w:szCs w:val="24"/>
              </w:rPr>
              <w:t xml:space="preserve">Erhvervelsen </w:t>
            </w:r>
            <w:r w:rsidR="00CC2AED" w:rsidRPr="00270255">
              <w:rPr>
                <w:rFonts w:ascii="Times New Roman" w:hAnsi="Times New Roman"/>
                <w:sz w:val="24"/>
                <w:szCs w:val="24"/>
              </w:rPr>
              <w:t xml:space="preserve">af </w:t>
            </w:r>
            <w:r>
              <w:rPr>
                <w:rFonts w:ascii="Times New Roman" w:hAnsi="Times New Roman"/>
                <w:sz w:val="24"/>
                <w:szCs w:val="24"/>
              </w:rPr>
              <w:t xml:space="preserve">ejendomsretten til </w:t>
            </w:r>
            <w:r w:rsidR="00CC2AED" w:rsidRPr="00270255">
              <w:rPr>
                <w:rFonts w:ascii="Times New Roman" w:hAnsi="Times New Roman"/>
                <w:sz w:val="24"/>
                <w:szCs w:val="24"/>
              </w:rPr>
              <w:t xml:space="preserve">instrumenterne er ikke direkte eller indirekte finansieret af instituttet. </w:t>
            </w:r>
          </w:p>
          <w:p w14:paraId="4DC2D782" w14:textId="77777777"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Instrumenterne er efterstillet supplerende kapitalinstrumenter i tilfælde af instituttets insolvens. </w:t>
            </w:r>
          </w:p>
          <w:p w14:paraId="46D274C9" w14:textId="77777777"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Ingen af følgende har stillet sikkerhed for instrumenterne eller underlagt dem en garanti, som forbedrer fordringernes rangorden: </w:t>
            </w:r>
          </w:p>
          <w:p w14:paraId="12D725B4" w14:textId="77777777" w:rsidR="00CC2AED" w:rsidRPr="00270255" w:rsidRDefault="00CC2AED" w:rsidP="00200B89">
            <w:pPr>
              <w:pStyle w:val="Brdtekst"/>
              <w:numPr>
                <w:ilvl w:val="0"/>
                <w:numId w:val="18"/>
              </w:numPr>
              <w:ind w:left="1452"/>
              <w:rPr>
                <w:rFonts w:ascii="Times New Roman" w:hAnsi="Times New Roman"/>
                <w:sz w:val="24"/>
                <w:szCs w:val="24"/>
              </w:rPr>
            </w:pPr>
            <w:r w:rsidRPr="00270255">
              <w:rPr>
                <w:rFonts w:ascii="Times New Roman" w:hAnsi="Times New Roman"/>
                <w:sz w:val="24"/>
                <w:szCs w:val="24"/>
              </w:rPr>
              <w:t xml:space="preserve">instituttet eller dets datterselskaber </w:t>
            </w:r>
          </w:p>
          <w:p w14:paraId="62CE2655" w14:textId="77777777" w:rsidR="00CC2AED" w:rsidRPr="00270255" w:rsidRDefault="00CC2AED" w:rsidP="00200B89">
            <w:pPr>
              <w:pStyle w:val="Brdtekst"/>
              <w:numPr>
                <w:ilvl w:val="0"/>
                <w:numId w:val="18"/>
              </w:numPr>
              <w:ind w:left="1452"/>
              <w:rPr>
                <w:rFonts w:ascii="Times New Roman" w:hAnsi="Times New Roman"/>
                <w:sz w:val="24"/>
                <w:szCs w:val="24"/>
              </w:rPr>
            </w:pPr>
            <w:r w:rsidRPr="00270255">
              <w:rPr>
                <w:rFonts w:ascii="Times New Roman" w:hAnsi="Times New Roman"/>
                <w:sz w:val="24"/>
                <w:szCs w:val="24"/>
              </w:rPr>
              <w:t xml:space="preserve">moderselskabet for instituttet eller dets datterselskaber </w:t>
            </w:r>
          </w:p>
          <w:p w14:paraId="19A170B6" w14:textId="77777777" w:rsidR="00CC2AED" w:rsidRPr="00270255" w:rsidRDefault="00CC2AED" w:rsidP="00200B89">
            <w:pPr>
              <w:pStyle w:val="Brdtekst"/>
              <w:numPr>
                <w:ilvl w:val="0"/>
                <w:numId w:val="18"/>
              </w:numPr>
              <w:ind w:left="1452"/>
              <w:rPr>
                <w:rFonts w:ascii="Times New Roman" w:hAnsi="Times New Roman"/>
                <w:sz w:val="24"/>
                <w:szCs w:val="24"/>
              </w:rPr>
            </w:pPr>
            <w:r w:rsidRPr="00270255">
              <w:rPr>
                <w:rFonts w:ascii="Times New Roman" w:hAnsi="Times New Roman"/>
                <w:sz w:val="24"/>
                <w:szCs w:val="24"/>
              </w:rPr>
              <w:t xml:space="preserve">det finansielle moderholdingselskab eller dets datterselskaber </w:t>
            </w:r>
          </w:p>
          <w:p w14:paraId="616DA3D2" w14:textId="77777777" w:rsidR="00CC2AED" w:rsidRPr="00270255" w:rsidRDefault="00930977" w:rsidP="00200B89">
            <w:pPr>
              <w:pStyle w:val="Brdtekst"/>
              <w:numPr>
                <w:ilvl w:val="0"/>
                <w:numId w:val="18"/>
              </w:numPr>
              <w:ind w:left="1452"/>
              <w:rPr>
                <w:rFonts w:ascii="Times New Roman" w:hAnsi="Times New Roman"/>
                <w:sz w:val="24"/>
                <w:szCs w:val="24"/>
              </w:rPr>
            </w:pPr>
            <w:r w:rsidRPr="00270255">
              <w:rPr>
                <w:rFonts w:ascii="Times New Roman" w:hAnsi="Times New Roman"/>
                <w:sz w:val="24"/>
                <w:szCs w:val="24"/>
              </w:rPr>
              <w:t>d</w:t>
            </w:r>
            <w:r w:rsidR="00CC2AED" w:rsidRPr="00270255">
              <w:rPr>
                <w:rFonts w:ascii="Times New Roman" w:hAnsi="Times New Roman"/>
                <w:sz w:val="24"/>
                <w:szCs w:val="24"/>
              </w:rPr>
              <w:t xml:space="preserve">et blandede holdingselskab eller dets datterselskaber </w:t>
            </w:r>
          </w:p>
          <w:p w14:paraId="4632A7D9" w14:textId="77777777" w:rsidR="00CC2AED" w:rsidRPr="00270255" w:rsidRDefault="00CC2AED" w:rsidP="00200B89">
            <w:pPr>
              <w:pStyle w:val="Brdtekst"/>
              <w:numPr>
                <w:ilvl w:val="0"/>
                <w:numId w:val="18"/>
              </w:numPr>
              <w:ind w:left="1452"/>
              <w:rPr>
                <w:rFonts w:ascii="Times New Roman" w:hAnsi="Times New Roman"/>
                <w:sz w:val="24"/>
                <w:szCs w:val="24"/>
              </w:rPr>
            </w:pPr>
            <w:r w:rsidRPr="00270255">
              <w:rPr>
                <w:rFonts w:ascii="Times New Roman" w:hAnsi="Times New Roman"/>
                <w:sz w:val="24"/>
                <w:szCs w:val="24"/>
              </w:rPr>
              <w:t xml:space="preserve">det blandede finansielle holdingselskab eller dets datterselskaber </w:t>
            </w:r>
          </w:p>
          <w:p w14:paraId="205E13A4" w14:textId="77777777" w:rsidR="00CC2AED" w:rsidRPr="00270255" w:rsidRDefault="00CC2AED" w:rsidP="00200B89">
            <w:pPr>
              <w:pStyle w:val="Brdtekst"/>
              <w:numPr>
                <w:ilvl w:val="0"/>
                <w:numId w:val="18"/>
              </w:numPr>
              <w:ind w:left="1452"/>
              <w:rPr>
                <w:rFonts w:ascii="Times New Roman" w:hAnsi="Times New Roman"/>
                <w:sz w:val="24"/>
                <w:szCs w:val="24"/>
              </w:rPr>
            </w:pPr>
            <w:r w:rsidRPr="00270255">
              <w:rPr>
                <w:rFonts w:ascii="Times New Roman" w:hAnsi="Times New Roman"/>
                <w:sz w:val="24"/>
                <w:szCs w:val="24"/>
              </w:rPr>
              <w:t xml:space="preserve">enhver virksomhed, som har snævre forbindelser med de i nr. i) - v) nævnte enheder. </w:t>
            </w:r>
          </w:p>
          <w:p w14:paraId="54242BF4" w14:textId="77777777"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Instrumenterne er ikke omfattet af kontraktbaserede ordninger eller andre ordninger, som forbedrer fordringernes rangorden ved insolvens eller likvidation. </w:t>
            </w:r>
          </w:p>
          <w:p w14:paraId="0AB72462" w14:textId="77777777"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Instrumenterne er uamortisable (perpetual), og de bestemmelser, som regulerer dem, indeholder ikke noget indfrielsesincitament for instituttet. </w:t>
            </w:r>
          </w:p>
          <w:p w14:paraId="2EFB76EE" w14:textId="6BB93024"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Hvis instrumenterne indeholder en eller flere option</w:t>
            </w:r>
            <w:r w:rsidR="000672A3">
              <w:rPr>
                <w:rFonts w:ascii="Times New Roman" w:hAnsi="Times New Roman"/>
                <w:sz w:val="24"/>
                <w:szCs w:val="24"/>
              </w:rPr>
              <w:t>er på førtidig indfrielse</w:t>
            </w:r>
            <w:r w:rsidRPr="00270255">
              <w:rPr>
                <w:rFonts w:ascii="Times New Roman" w:hAnsi="Times New Roman"/>
                <w:sz w:val="24"/>
                <w:szCs w:val="24"/>
              </w:rPr>
              <w:t>,</w:t>
            </w:r>
            <w:r w:rsidR="000672A3">
              <w:rPr>
                <w:rFonts w:ascii="Times New Roman" w:hAnsi="Times New Roman"/>
                <w:sz w:val="24"/>
                <w:szCs w:val="24"/>
              </w:rPr>
              <w:t xml:space="preserve"> herunder call-optioner,</w:t>
            </w:r>
            <w:r w:rsidRPr="00270255">
              <w:rPr>
                <w:rFonts w:ascii="Times New Roman" w:hAnsi="Times New Roman"/>
                <w:sz w:val="24"/>
                <w:szCs w:val="24"/>
              </w:rPr>
              <w:t xml:space="preserve"> kan</w:t>
            </w:r>
            <w:r w:rsidR="000672A3">
              <w:rPr>
                <w:rFonts w:ascii="Times New Roman" w:hAnsi="Times New Roman"/>
                <w:sz w:val="24"/>
                <w:szCs w:val="24"/>
              </w:rPr>
              <w:t xml:space="preserve"> optionerne kun</w:t>
            </w:r>
            <w:r w:rsidRPr="00270255">
              <w:rPr>
                <w:rFonts w:ascii="Times New Roman" w:hAnsi="Times New Roman"/>
                <w:sz w:val="24"/>
                <w:szCs w:val="24"/>
              </w:rPr>
              <w:t xml:space="preserve"> udnyttes efter udstederens</w:t>
            </w:r>
            <w:r w:rsidR="000672A3">
              <w:rPr>
                <w:rFonts w:ascii="Times New Roman" w:hAnsi="Times New Roman"/>
                <w:sz w:val="24"/>
                <w:szCs w:val="24"/>
              </w:rPr>
              <w:t xml:space="preserve"> eget</w:t>
            </w:r>
            <w:r w:rsidRPr="00270255">
              <w:rPr>
                <w:rFonts w:ascii="Times New Roman" w:hAnsi="Times New Roman"/>
                <w:sz w:val="24"/>
                <w:szCs w:val="24"/>
              </w:rPr>
              <w:t xml:space="preserve"> valg. </w:t>
            </w:r>
          </w:p>
          <w:p w14:paraId="000E4C33" w14:textId="77777777"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Instrumenterne kan kun førtidsindfries, indfries ved udløb eller genkøbes, når betingelserne i artikel 77 er opfyldt, og først fem år efter udstedelsesdatoen, undtagen i de tilfælde, hvor betingelserne i artikel 78, stk. 4, er opfyldt. </w:t>
            </w:r>
          </w:p>
          <w:p w14:paraId="3F8DFBCC" w14:textId="28E65A06" w:rsidR="00CC2AED" w:rsidRPr="00270255" w:rsidRDefault="00CC2AED" w:rsidP="00113BE6">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De bestemmelser, som regulerer instrumenterne, angiver ikke eksplicit eller implicit, at instrumenterne</w:t>
            </w:r>
            <w:r w:rsidR="00137E13">
              <w:rPr>
                <w:rFonts w:ascii="Times New Roman" w:hAnsi="Times New Roman"/>
                <w:sz w:val="24"/>
                <w:szCs w:val="24"/>
              </w:rPr>
              <w:t xml:space="preserve">, efter omstændighederne, </w:t>
            </w:r>
            <w:r w:rsidRPr="00270255">
              <w:rPr>
                <w:rFonts w:ascii="Times New Roman" w:hAnsi="Times New Roman"/>
                <w:sz w:val="24"/>
                <w:szCs w:val="24"/>
              </w:rPr>
              <w:t>bliver førtidsindfriet, indfriet ved udløb eller genkøbt</w:t>
            </w:r>
            <w:r w:rsidR="00137E13">
              <w:rPr>
                <w:rFonts w:ascii="Times New Roman" w:hAnsi="Times New Roman"/>
                <w:sz w:val="24"/>
                <w:szCs w:val="24"/>
              </w:rPr>
              <w:t xml:space="preserve"> af instituttet</w:t>
            </w:r>
            <w:r w:rsidR="00C9185F">
              <w:rPr>
                <w:rFonts w:ascii="Times New Roman" w:hAnsi="Times New Roman"/>
                <w:sz w:val="24"/>
                <w:szCs w:val="24"/>
              </w:rPr>
              <w:t xml:space="preserve"> </w:t>
            </w:r>
            <w:r w:rsidR="00137E13">
              <w:rPr>
                <w:rFonts w:ascii="Times New Roman" w:hAnsi="Times New Roman"/>
                <w:sz w:val="24"/>
                <w:szCs w:val="24"/>
              </w:rPr>
              <w:t>i andre tilfælde end i forbindelse med insti</w:t>
            </w:r>
            <w:r w:rsidR="00C9185F">
              <w:rPr>
                <w:rFonts w:ascii="Times New Roman" w:hAnsi="Times New Roman"/>
                <w:sz w:val="24"/>
                <w:szCs w:val="24"/>
              </w:rPr>
              <w:t>tuttets insolvens eller likvid</w:t>
            </w:r>
            <w:r w:rsidR="00137E13">
              <w:rPr>
                <w:rFonts w:ascii="Times New Roman" w:hAnsi="Times New Roman"/>
                <w:sz w:val="24"/>
                <w:szCs w:val="24"/>
              </w:rPr>
              <w:t>ation</w:t>
            </w:r>
            <w:r w:rsidRPr="00270255">
              <w:rPr>
                <w:rFonts w:ascii="Times New Roman" w:hAnsi="Times New Roman"/>
                <w:sz w:val="24"/>
                <w:szCs w:val="24"/>
              </w:rPr>
              <w:t>, og instituttet tilkendegiver ikke dette på anden måde</w:t>
            </w:r>
            <w:r w:rsidR="00137E13">
              <w:rPr>
                <w:rFonts w:ascii="Times New Roman" w:hAnsi="Times New Roman"/>
                <w:sz w:val="24"/>
                <w:szCs w:val="24"/>
              </w:rPr>
              <w:t>.</w:t>
            </w:r>
            <w:r w:rsidRPr="00270255">
              <w:rPr>
                <w:rFonts w:ascii="Times New Roman" w:hAnsi="Times New Roman"/>
                <w:sz w:val="24"/>
                <w:szCs w:val="24"/>
              </w:rPr>
              <w:t xml:space="preserve"> </w:t>
            </w:r>
          </w:p>
          <w:p w14:paraId="45018E96" w14:textId="77777777" w:rsidR="00930977"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Instituttet angiver ikke eksplicit eller implicit, at </w:t>
            </w:r>
            <w:r w:rsidR="007F7FD8">
              <w:rPr>
                <w:rFonts w:ascii="Times New Roman" w:hAnsi="Times New Roman"/>
                <w:sz w:val="24"/>
                <w:szCs w:val="24"/>
              </w:rPr>
              <w:t>Finanstilsynet</w:t>
            </w:r>
            <w:r w:rsidRPr="00270255">
              <w:rPr>
                <w:rFonts w:ascii="Times New Roman" w:hAnsi="Times New Roman"/>
                <w:sz w:val="24"/>
                <w:szCs w:val="24"/>
              </w:rPr>
              <w:t xml:space="preserve"> vil give sit samtykke til førtidsindfrielse, indfrielse ved udløb eller genkøb af instrumenterne.</w:t>
            </w:r>
          </w:p>
          <w:p w14:paraId="67C7F0EC" w14:textId="77777777"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lastRenderedPageBreak/>
              <w:t xml:space="preserve">Udlodninger på instrumenterne opfylder følgende betingelser: </w:t>
            </w:r>
          </w:p>
          <w:p w14:paraId="7C72852B" w14:textId="77777777" w:rsidR="00CC2AED" w:rsidRPr="00270255" w:rsidRDefault="00CC2AED" w:rsidP="00200B89">
            <w:pPr>
              <w:pStyle w:val="Brdtekst"/>
              <w:numPr>
                <w:ilvl w:val="0"/>
                <w:numId w:val="20"/>
              </w:numPr>
              <w:ind w:left="1452"/>
              <w:rPr>
                <w:rFonts w:ascii="Times New Roman" w:hAnsi="Times New Roman"/>
                <w:sz w:val="24"/>
                <w:szCs w:val="24"/>
              </w:rPr>
            </w:pPr>
            <w:r w:rsidRPr="00270255">
              <w:rPr>
                <w:rFonts w:ascii="Times New Roman" w:hAnsi="Times New Roman"/>
                <w:sz w:val="24"/>
                <w:szCs w:val="24"/>
              </w:rPr>
              <w:t xml:space="preserve">De udbetales fra poster, der kan udloddes. </w:t>
            </w:r>
          </w:p>
          <w:p w14:paraId="506BB0FD" w14:textId="77777777" w:rsidR="00CC2AED" w:rsidRPr="00270255" w:rsidRDefault="00CC2AED" w:rsidP="00200B89">
            <w:pPr>
              <w:pStyle w:val="Brdtekst"/>
              <w:numPr>
                <w:ilvl w:val="0"/>
                <w:numId w:val="20"/>
              </w:numPr>
              <w:ind w:left="1452"/>
              <w:rPr>
                <w:rFonts w:ascii="Times New Roman" w:hAnsi="Times New Roman"/>
                <w:sz w:val="24"/>
                <w:szCs w:val="24"/>
              </w:rPr>
            </w:pPr>
            <w:r w:rsidRPr="00270255">
              <w:rPr>
                <w:rFonts w:ascii="Times New Roman" w:hAnsi="Times New Roman"/>
                <w:sz w:val="24"/>
                <w:szCs w:val="24"/>
              </w:rPr>
              <w:t xml:space="preserve">Størrelsen af udlodningerne på instrumenterne vil ikke blive ændret på baggrund af kreditsituationen for instituttet eller dets moderselskab. </w:t>
            </w:r>
          </w:p>
          <w:p w14:paraId="4E71C92E" w14:textId="77777777" w:rsidR="00B25AB2" w:rsidRPr="00270255" w:rsidRDefault="00CC2AED" w:rsidP="00200B89">
            <w:pPr>
              <w:pStyle w:val="Brdtekst"/>
              <w:numPr>
                <w:ilvl w:val="0"/>
                <w:numId w:val="20"/>
              </w:numPr>
              <w:ind w:left="1452"/>
              <w:rPr>
                <w:rFonts w:ascii="Times New Roman" w:hAnsi="Times New Roman"/>
                <w:sz w:val="24"/>
                <w:szCs w:val="24"/>
              </w:rPr>
            </w:pPr>
            <w:r w:rsidRPr="00270255">
              <w:rPr>
                <w:rFonts w:ascii="Times New Roman" w:hAnsi="Times New Roman"/>
                <w:sz w:val="24"/>
                <w:szCs w:val="24"/>
              </w:rPr>
              <w:t xml:space="preserve">I henhold til de bestemmelser, som regulerer instrumenterne, kan instituttet til enhver tid frit vælge at annullere udlodningerne på instrumenterne for en ubegrænset periode og på et ikkekumulativt grundlag, og instituttet kan anvende sådanne annullerede udbetalinger uden begrænsning til at indfri sine forfaldne forpligtelser. </w:t>
            </w:r>
          </w:p>
          <w:p w14:paraId="7E3FB96E" w14:textId="77777777" w:rsidR="00B25AB2" w:rsidRPr="00270255" w:rsidRDefault="00CC2AED" w:rsidP="00200B89">
            <w:pPr>
              <w:pStyle w:val="Brdtekst"/>
              <w:numPr>
                <w:ilvl w:val="0"/>
                <w:numId w:val="20"/>
              </w:numPr>
              <w:ind w:left="1452"/>
              <w:rPr>
                <w:rFonts w:ascii="Times New Roman" w:hAnsi="Times New Roman"/>
                <w:sz w:val="24"/>
                <w:szCs w:val="24"/>
              </w:rPr>
            </w:pPr>
            <w:r w:rsidRPr="00270255">
              <w:rPr>
                <w:rFonts w:ascii="Times New Roman" w:hAnsi="Times New Roman"/>
                <w:sz w:val="24"/>
                <w:szCs w:val="24"/>
              </w:rPr>
              <w:t xml:space="preserve">Annullering af udlodninger betragtes ikke som misligholdelse fra instituttets side. </w:t>
            </w:r>
          </w:p>
          <w:p w14:paraId="6DB9BB5A" w14:textId="77777777" w:rsidR="00CC2AED" w:rsidRPr="00270255" w:rsidRDefault="00CC2AED" w:rsidP="00200B89">
            <w:pPr>
              <w:pStyle w:val="Brdtekst"/>
              <w:numPr>
                <w:ilvl w:val="0"/>
                <w:numId w:val="20"/>
              </w:numPr>
              <w:ind w:left="1452"/>
              <w:rPr>
                <w:rFonts w:ascii="Times New Roman" w:hAnsi="Times New Roman"/>
                <w:sz w:val="24"/>
                <w:szCs w:val="24"/>
              </w:rPr>
            </w:pPr>
            <w:r w:rsidRPr="00270255">
              <w:rPr>
                <w:rFonts w:ascii="Times New Roman" w:hAnsi="Times New Roman"/>
                <w:sz w:val="24"/>
                <w:szCs w:val="24"/>
              </w:rPr>
              <w:t xml:space="preserve">Annullering af udlodninger pålægger ikke instituttet restriktioner. </w:t>
            </w:r>
          </w:p>
          <w:p w14:paraId="0955586C" w14:textId="77777777"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Instrumenterne bidrager ikke til en afgørelse om, at et instituts passiver er større end dets aktiver, hvis en sådan afgørelse er en insolvenstest i henhold til national lovgivning. </w:t>
            </w:r>
          </w:p>
          <w:p w14:paraId="2A2DC9EE" w14:textId="77777777" w:rsidR="00CC2AED" w:rsidRPr="00270255" w:rsidRDefault="00CC2AED" w:rsidP="00200B89">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 xml:space="preserve">I henhold til de bestemmelser, som regulerer instrumenterne, skal instrumenternes hovedstol ved en udløsende hændelse nedskrives permanent eller midlertidigt, eller instrumenterne skal konverteres til egentlige kernekapitalinstrumenter. </w:t>
            </w:r>
          </w:p>
          <w:p w14:paraId="39A866C2" w14:textId="09362406" w:rsidR="00A1573C" w:rsidRDefault="00CC2AED" w:rsidP="00113BE6">
            <w:pPr>
              <w:pStyle w:val="Brdtekst"/>
              <w:numPr>
                <w:ilvl w:val="0"/>
                <w:numId w:val="16"/>
              </w:numPr>
              <w:ind w:left="885"/>
              <w:rPr>
                <w:rFonts w:ascii="Times New Roman" w:hAnsi="Times New Roman"/>
                <w:sz w:val="24"/>
                <w:szCs w:val="24"/>
              </w:rPr>
            </w:pPr>
            <w:r w:rsidRPr="00270255">
              <w:rPr>
                <w:rFonts w:ascii="Times New Roman" w:hAnsi="Times New Roman"/>
                <w:sz w:val="24"/>
                <w:szCs w:val="24"/>
              </w:rPr>
              <w:t>De bestemmelser, som regulerer instrumenterne, indeholder ikke elementer, der er til hinder for en rekapitalisering af instituttet.</w:t>
            </w:r>
          </w:p>
          <w:p w14:paraId="0C7AFC44" w14:textId="2D4FC21F" w:rsidR="00A1573C" w:rsidRPr="00113BE6" w:rsidRDefault="00A1573C" w:rsidP="00113BE6">
            <w:pPr>
              <w:pStyle w:val="Brdtekst"/>
              <w:numPr>
                <w:ilvl w:val="0"/>
                <w:numId w:val="16"/>
              </w:numPr>
              <w:ind w:left="885"/>
              <w:rPr>
                <w:rFonts w:ascii="Times New Roman" w:hAnsi="Times New Roman"/>
                <w:sz w:val="24"/>
                <w:szCs w:val="24"/>
              </w:rPr>
            </w:pPr>
            <w:r w:rsidRPr="00113BE6">
              <w:rPr>
                <w:rFonts w:ascii="Times New Roman" w:hAnsi="Times New Roman"/>
                <w:sz w:val="24"/>
                <w:szCs w:val="24"/>
              </w:rPr>
              <w:t xml:space="preserve">Hvis udstederen er etableret i et tredjeland og er udpeget i henhold til artikel 12 i direktiv 2014/59/EU som en del af en afviklingskoncern, hvis afviklingsenhed er etableret i Unionen, eller hvis udstederen er etableret i en medlemsstat, skal instrumenternes hovedstol i henhold til den lov eller de kontraktlige bestemmelser, som regulerer instrumenterne, efter afviklingsmyndighedens afgørelse om at udøve nedskrivnings- og konverteringsbeføjelserne omhandlet i artikel 59 i nævnte direktiv nedskrives permanent, eller instrumenterne skal konverteres til egentlige kernekapitalinstrumenter; </w:t>
            </w:r>
          </w:p>
          <w:p w14:paraId="652C83BC" w14:textId="77777777" w:rsidR="00CC2AED" w:rsidRPr="00113BE6" w:rsidRDefault="00A1573C" w:rsidP="00113BE6">
            <w:pPr>
              <w:pStyle w:val="Brdtekst"/>
              <w:numPr>
                <w:ilvl w:val="0"/>
                <w:numId w:val="16"/>
              </w:numPr>
              <w:ind w:left="885"/>
              <w:rPr>
                <w:rFonts w:ascii="Times New Roman" w:hAnsi="Times New Roman"/>
                <w:sz w:val="24"/>
                <w:szCs w:val="24"/>
              </w:rPr>
            </w:pPr>
            <w:r w:rsidRPr="00113BE6">
              <w:rPr>
                <w:rFonts w:ascii="Times New Roman" w:hAnsi="Times New Roman"/>
                <w:sz w:val="24"/>
                <w:szCs w:val="24"/>
              </w:rPr>
              <w:t>Hvis udstederen er etableret i et tredjeland og ikke er udpeget i henhold til artikel 12 i direktiv 2014/59/EU som en del af en afviklingskoncern, hvis afviklingsenhed er etableret i Unionen, skal instrumenternes hovedstol i henhold til den lov eller de kontraktlige bestemmelser, som regulerer instrumenterne, efter den relevante tredjelandsmyndigheds afgørelse nedskrives permanent eller konverteres til egentlige kernekapitalinstrumenter</w:t>
            </w:r>
            <w:r w:rsidR="00CC2AED" w:rsidRPr="00A1573C">
              <w:rPr>
                <w:rFonts w:ascii="Times New Roman" w:hAnsi="Times New Roman"/>
                <w:sz w:val="24"/>
                <w:szCs w:val="24"/>
              </w:rPr>
              <w:t xml:space="preserve"> </w:t>
            </w:r>
          </w:p>
          <w:p w14:paraId="77C6A4A0" w14:textId="77777777" w:rsidR="005F5741" w:rsidRPr="00113BE6" w:rsidRDefault="00AC634A" w:rsidP="00113BE6">
            <w:pPr>
              <w:pStyle w:val="Brdtekst"/>
              <w:numPr>
                <w:ilvl w:val="0"/>
                <w:numId w:val="16"/>
              </w:numPr>
              <w:ind w:left="885"/>
              <w:rPr>
                <w:rFonts w:ascii="Times New Roman" w:hAnsi="Times New Roman"/>
                <w:sz w:val="24"/>
                <w:szCs w:val="24"/>
              </w:rPr>
            </w:pPr>
            <w:r w:rsidRPr="00113BE6">
              <w:rPr>
                <w:rFonts w:ascii="Times New Roman" w:hAnsi="Times New Roman"/>
                <w:sz w:val="24"/>
                <w:szCs w:val="24"/>
              </w:rPr>
              <w:t>Instrumenterne er ikke omfattet af modregnings- eller nettingaftaler, der ville underminere deres tabsabsorberingskapacitet</w:t>
            </w:r>
          </w:p>
          <w:p w14:paraId="02672193" w14:textId="160EE5B3" w:rsidR="00CC2AED" w:rsidRPr="00113BE6" w:rsidRDefault="00CC2AED" w:rsidP="00113BE6">
            <w:pPr>
              <w:pStyle w:val="Brdtekst"/>
              <w:ind w:left="885"/>
              <w:rPr>
                <w:rFonts w:ascii="Times New Roman" w:hAnsi="Times New Roman"/>
                <w:sz w:val="24"/>
                <w:szCs w:val="24"/>
              </w:rPr>
            </w:pPr>
          </w:p>
          <w:p w14:paraId="497FB94D" w14:textId="77777777" w:rsidR="00CC2AED" w:rsidRPr="00270255" w:rsidRDefault="00CC2AED" w:rsidP="00A81CA0">
            <w:pPr>
              <w:pStyle w:val="Brdtekst"/>
              <w:rPr>
                <w:rFonts w:ascii="Times New Roman" w:hAnsi="Times New Roman"/>
                <w:sz w:val="24"/>
                <w:szCs w:val="24"/>
              </w:rPr>
            </w:pPr>
            <w:r w:rsidRPr="00270255">
              <w:rPr>
                <w:rFonts w:ascii="Times New Roman" w:hAnsi="Times New Roman"/>
                <w:sz w:val="24"/>
                <w:szCs w:val="24"/>
              </w:rPr>
              <w:t>Betingelsen i litra d) anses for opfyldt, selv om instrumenterne indgår i hybrid kernekapital eller supplerende kapital i medfør af artikel 484, stk. 3, forudsat at de er sidestillede.</w:t>
            </w:r>
          </w:p>
          <w:p w14:paraId="43F4A1F5" w14:textId="77777777" w:rsidR="00CC2AED" w:rsidRDefault="00CC2AED" w:rsidP="00A81CA0">
            <w:pPr>
              <w:pStyle w:val="Brdtekst"/>
              <w:rPr>
                <w:rFonts w:ascii="Times New Roman" w:hAnsi="Times New Roman"/>
                <w:sz w:val="24"/>
                <w:szCs w:val="24"/>
              </w:rPr>
            </w:pPr>
          </w:p>
          <w:p w14:paraId="1AF5FC76" w14:textId="77777777" w:rsidR="00A316E3" w:rsidRPr="00113BE6" w:rsidRDefault="00A316E3" w:rsidP="00A316E3">
            <w:r w:rsidRPr="00113BE6">
              <w:t>Kun den del af et kapitalinstrument, der er fuldt indbetalt, kan med henblik på første afsnit, litra a), betragtes som et hybridt kernekapitalinstrument</w:t>
            </w:r>
          </w:p>
          <w:p w14:paraId="69E30724" w14:textId="2910F6B1" w:rsidR="00A316E3" w:rsidRDefault="00A316E3" w:rsidP="00A81CA0">
            <w:pPr>
              <w:pStyle w:val="Brdtekst"/>
              <w:rPr>
                <w:rFonts w:ascii="Times New Roman" w:hAnsi="Times New Roman"/>
                <w:sz w:val="24"/>
                <w:szCs w:val="24"/>
              </w:rPr>
            </w:pPr>
          </w:p>
          <w:p w14:paraId="0AD4A677" w14:textId="6C55E325" w:rsidR="00113BE6" w:rsidRDefault="00113BE6" w:rsidP="00A81CA0">
            <w:pPr>
              <w:pStyle w:val="Brdtekst"/>
              <w:rPr>
                <w:rFonts w:ascii="Times New Roman" w:hAnsi="Times New Roman"/>
                <w:sz w:val="24"/>
                <w:szCs w:val="24"/>
              </w:rPr>
            </w:pPr>
          </w:p>
          <w:p w14:paraId="35F802F2" w14:textId="77777777" w:rsidR="00113BE6" w:rsidRPr="00270255" w:rsidRDefault="00113BE6" w:rsidP="00A81CA0">
            <w:pPr>
              <w:pStyle w:val="Brdtekst"/>
              <w:rPr>
                <w:rFonts w:ascii="Times New Roman" w:hAnsi="Times New Roman"/>
                <w:sz w:val="24"/>
                <w:szCs w:val="24"/>
              </w:rPr>
            </w:pPr>
          </w:p>
          <w:p w14:paraId="4595ECD5" w14:textId="77777777" w:rsidR="00FD459A" w:rsidRPr="00270255" w:rsidRDefault="00FD459A" w:rsidP="00FD459A">
            <w:pPr>
              <w:pStyle w:val="Brdtekst"/>
              <w:rPr>
                <w:rFonts w:ascii="Times New Roman" w:hAnsi="Times New Roman"/>
                <w:sz w:val="24"/>
                <w:szCs w:val="24"/>
              </w:rPr>
            </w:pPr>
            <w:r w:rsidRPr="00270255">
              <w:rPr>
                <w:rFonts w:ascii="Times New Roman" w:hAnsi="Times New Roman"/>
                <w:sz w:val="24"/>
                <w:szCs w:val="24"/>
              </w:rPr>
              <w:lastRenderedPageBreak/>
              <w:t xml:space="preserve">Af CRR artikel 53 fremgår: </w:t>
            </w:r>
          </w:p>
          <w:p w14:paraId="23AB91C7" w14:textId="77777777" w:rsidR="00FD459A" w:rsidRPr="00270255" w:rsidRDefault="00FD459A" w:rsidP="00FD459A">
            <w:pPr>
              <w:pStyle w:val="Brdtekst"/>
              <w:rPr>
                <w:rFonts w:ascii="Times New Roman" w:hAnsi="Times New Roman"/>
                <w:sz w:val="24"/>
                <w:szCs w:val="24"/>
              </w:rPr>
            </w:pPr>
            <w:r w:rsidRPr="00270255">
              <w:rPr>
                <w:rFonts w:ascii="Times New Roman" w:hAnsi="Times New Roman"/>
                <w:sz w:val="24"/>
                <w:szCs w:val="24"/>
              </w:rPr>
              <w:t xml:space="preserve">Med henblik på anvendelse af artikel 52, stk. 1, litra l), nr. v), og litra o), må de bestemmelser, som regulerer hybride kernekapitalinstrumenter, især ikke omfatte følgende: </w:t>
            </w:r>
          </w:p>
          <w:p w14:paraId="08045670" w14:textId="77777777" w:rsidR="00FD459A" w:rsidRPr="00270255" w:rsidRDefault="00FD459A" w:rsidP="00FD459A">
            <w:pPr>
              <w:pStyle w:val="Brdtekst"/>
              <w:numPr>
                <w:ilvl w:val="1"/>
                <w:numId w:val="5"/>
              </w:numPr>
              <w:snapToGrid w:val="0"/>
              <w:rPr>
                <w:rFonts w:ascii="Times New Roman" w:hAnsi="Times New Roman"/>
                <w:sz w:val="24"/>
                <w:szCs w:val="24"/>
              </w:rPr>
            </w:pPr>
            <w:r w:rsidRPr="00270255">
              <w:rPr>
                <w:rFonts w:ascii="Times New Roman" w:hAnsi="Times New Roman"/>
                <w:sz w:val="24"/>
                <w:szCs w:val="24"/>
              </w:rPr>
              <w:t xml:space="preserve">et krav om, at udlodninger på instrumenterne skal foretages, i tilfælde af at en udlodning foretages på et af instituttet udstedt instrument med samme rang som eller med lavere rang end et hybridt kernekapitalinstrument, herunder et egentligt kernekapitalinstrument </w:t>
            </w:r>
          </w:p>
          <w:p w14:paraId="2974C3AE" w14:textId="77777777" w:rsidR="00FD459A" w:rsidRPr="00270255" w:rsidRDefault="00FD459A" w:rsidP="00FD459A">
            <w:pPr>
              <w:pStyle w:val="Brdtekst"/>
              <w:numPr>
                <w:ilvl w:val="1"/>
                <w:numId w:val="5"/>
              </w:numPr>
              <w:snapToGrid w:val="0"/>
              <w:rPr>
                <w:rFonts w:ascii="Times New Roman" w:hAnsi="Times New Roman"/>
                <w:sz w:val="24"/>
                <w:szCs w:val="24"/>
              </w:rPr>
            </w:pPr>
            <w:r w:rsidRPr="00270255">
              <w:rPr>
                <w:rFonts w:ascii="Times New Roman" w:hAnsi="Times New Roman"/>
                <w:sz w:val="24"/>
                <w:szCs w:val="24"/>
              </w:rPr>
              <w:t>et krav om, at udbetaling af udlodninger på egentlige kernekapitalinstrumenter, hybride kernekapitalinstrumenter eller supplerende kapitalinstrumenter skal annulleres, i tilfælde af at udlodninger ikke foretages på disse hybride kernekapitalinstrumenter</w:t>
            </w:r>
          </w:p>
          <w:p w14:paraId="7F83BE80" w14:textId="77777777" w:rsidR="00FD459A" w:rsidRPr="00270255" w:rsidRDefault="00FD459A" w:rsidP="00FD459A">
            <w:pPr>
              <w:pStyle w:val="Brdtekst"/>
              <w:numPr>
                <w:ilvl w:val="1"/>
                <w:numId w:val="5"/>
              </w:numPr>
              <w:snapToGrid w:val="0"/>
              <w:rPr>
                <w:rFonts w:ascii="Times New Roman" w:hAnsi="Times New Roman"/>
                <w:sz w:val="24"/>
                <w:szCs w:val="24"/>
              </w:rPr>
            </w:pPr>
            <w:r w:rsidRPr="00270255">
              <w:rPr>
                <w:rFonts w:ascii="Times New Roman" w:hAnsi="Times New Roman"/>
                <w:sz w:val="24"/>
                <w:szCs w:val="24"/>
              </w:rPr>
              <w:t>en forpligtelse til at erstatte udbetaling af renter eller udbytte med en anden form for udbetaling. Instituttet er ikke på anden måde omfattet af en sådan forpligtelse.</w:t>
            </w:r>
          </w:p>
          <w:p w14:paraId="7C3041F6" w14:textId="77777777" w:rsidR="00FD459A" w:rsidRPr="00270255" w:rsidRDefault="00FD459A" w:rsidP="00A81CA0">
            <w:pPr>
              <w:pStyle w:val="Brdtekst"/>
              <w:rPr>
                <w:rFonts w:ascii="Times New Roman" w:hAnsi="Times New Roman"/>
                <w:sz w:val="24"/>
                <w:szCs w:val="24"/>
              </w:rPr>
            </w:pPr>
          </w:p>
          <w:p w14:paraId="625F782C" w14:textId="77777777" w:rsidR="00C63CA6" w:rsidRPr="00270255" w:rsidRDefault="00C63CA6" w:rsidP="00C63CA6">
            <w:pPr>
              <w:pStyle w:val="Brdtekst"/>
              <w:rPr>
                <w:rFonts w:ascii="Times New Roman" w:hAnsi="Times New Roman"/>
                <w:sz w:val="24"/>
                <w:szCs w:val="24"/>
              </w:rPr>
            </w:pPr>
            <w:r w:rsidRPr="00270255">
              <w:rPr>
                <w:rFonts w:ascii="Times New Roman" w:hAnsi="Times New Roman"/>
                <w:sz w:val="24"/>
                <w:szCs w:val="24"/>
              </w:rPr>
              <w:t>Af CRR artikel 54 fremgår bl.a.:</w:t>
            </w:r>
          </w:p>
          <w:p w14:paraId="039208EE" w14:textId="77777777" w:rsidR="00C63CA6" w:rsidRPr="00270255" w:rsidRDefault="00C63CA6" w:rsidP="00C63CA6">
            <w:pPr>
              <w:pStyle w:val="Brdtekst"/>
              <w:rPr>
                <w:rFonts w:ascii="Times New Roman" w:hAnsi="Times New Roman"/>
                <w:sz w:val="24"/>
                <w:szCs w:val="24"/>
              </w:rPr>
            </w:pPr>
          </w:p>
          <w:p w14:paraId="146D36E1" w14:textId="77777777" w:rsidR="00C63CA6" w:rsidRPr="00270255" w:rsidRDefault="00C63CA6" w:rsidP="00C63CA6">
            <w:pPr>
              <w:pStyle w:val="Brdtekst"/>
              <w:rPr>
                <w:rFonts w:ascii="Times New Roman" w:hAnsi="Times New Roman"/>
                <w:sz w:val="24"/>
                <w:szCs w:val="24"/>
              </w:rPr>
            </w:pPr>
            <w:r w:rsidRPr="00270255">
              <w:rPr>
                <w:rFonts w:ascii="Times New Roman" w:hAnsi="Times New Roman"/>
                <w:sz w:val="24"/>
                <w:szCs w:val="24"/>
              </w:rPr>
              <w:t xml:space="preserve">Stk. 1. Med henblik på anvendelse af artikel 52, stk. 1, litra n), finder følgende bestemmelser anvendelse på hybride kernekapitalinstrumenter: </w:t>
            </w:r>
          </w:p>
          <w:p w14:paraId="3CDF13DB" w14:textId="77777777" w:rsidR="00C63CA6" w:rsidRPr="00270255" w:rsidRDefault="00C63CA6" w:rsidP="00C63CA6">
            <w:pPr>
              <w:pStyle w:val="Brdtekst"/>
              <w:numPr>
                <w:ilvl w:val="1"/>
                <w:numId w:val="6"/>
              </w:numPr>
              <w:ind w:left="743"/>
              <w:rPr>
                <w:rFonts w:ascii="Times New Roman" w:hAnsi="Times New Roman"/>
                <w:sz w:val="24"/>
                <w:szCs w:val="24"/>
              </w:rPr>
            </w:pPr>
            <w:r w:rsidRPr="00270255">
              <w:rPr>
                <w:rFonts w:ascii="Times New Roman" w:hAnsi="Times New Roman"/>
                <w:sz w:val="24"/>
                <w:szCs w:val="24"/>
              </w:rPr>
              <w:t xml:space="preserve">En udløsende hændelse indtræffer, når instituttets egentlige kernekapitalprocent som omhandlet i artikel 92, stk. 1, litra a), falder ned under en af følgende: </w:t>
            </w:r>
          </w:p>
          <w:p w14:paraId="55098249" w14:textId="77777777" w:rsidR="00C63CA6" w:rsidRPr="00270255" w:rsidRDefault="00C63CA6" w:rsidP="00C63CA6">
            <w:pPr>
              <w:pStyle w:val="Brdtekst"/>
              <w:numPr>
                <w:ilvl w:val="0"/>
                <w:numId w:val="7"/>
              </w:numPr>
              <w:ind w:left="1452"/>
              <w:rPr>
                <w:rFonts w:ascii="Times New Roman" w:hAnsi="Times New Roman"/>
                <w:sz w:val="24"/>
                <w:szCs w:val="24"/>
              </w:rPr>
            </w:pPr>
            <w:r w:rsidRPr="00270255">
              <w:rPr>
                <w:rFonts w:ascii="Times New Roman" w:hAnsi="Times New Roman"/>
                <w:sz w:val="24"/>
                <w:szCs w:val="24"/>
              </w:rPr>
              <w:t xml:space="preserve">5,125 % </w:t>
            </w:r>
          </w:p>
          <w:p w14:paraId="68D82088" w14:textId="77777777" w:rsidR="00C63CA6" w:rsidRPr="00270255" w:rsidRDefault="00C63CA6" w:rsidP="00C63CA6">
            <w:pPr>
              <w:pStyle w:val="Brdtekst"/>
              <w:numPr>
                <w:ilvl w:val="0"/>
                <w:numId w:val="7"/>
              </w:numPr>
              <w:ind w:left="1452"/>
              <w:rPr>
                <w:rFonts w:ascii="Times New Roman" w:hAnsi="Times New Roman"/>
                <w:sz w:val="24"/>
                <w:szCs w:val="24"/>
              </w:rPr>
            </w:pPr>
            <w:r w:rsidRPr="00270255">
              <w:rPr>
                <w:rFonts w:ascii="Times New Roman" w:hAnsi="Times New Roman"/>
                <w:sz w:val="24"/>
                <w:szCs w:val="24"/>
              </w:rPr>
              <w:t xml:space="preserve">et niveau højere end 5,125 %, når det fastsættes af instituttet og beskrives nærmere i de bestemmelser, som regulerer instrumentet. </w:t>
            </w:r>
          </w:p>
          <w:p w14:paraId="4664DE78" w14:textId="77777777" w:rsidR="00C63CA6" w:rsidRPr="00270255" w:rsidRDefault="00C63CA6" w:rsidP="00C63CA6">
            <w:pPr>
              <w:pStyle w:val="Brdtekst"/>
              <w:numPr>
                <w:ilvl w:val="0"/>
                <w:numId w:val="6"/>
              </w:numPr>
              <w:rPr>
                <w:rFonts w:ascii="Times New Roman" w:hAnsi="Times New Roman"/>
                <w:sz w:val="24"/>
                <w:szCs w:val="24"/>
              </w:rPr>
            </w:pPr>
            <w:r w:rsidRPr="00270255">
              <w:rPr>
                <w:rFonts w:ascii="Times New Roman" w:hAnsi="Times New Roman"/>
                <w:sz w:val="24"/>
                <w:szCs w:val="24"/>
              </w:rPr>
              <w:t xml:space="preserve">Institutterne kan i de bestemmelser, som regulerer instrumentet, angive en eller flere udløsende hændelser ud over den, der er omhandlet i litra a). </w:t>
            </w:r>
          </w:p>
          <w:p w14:paraId="26B76C00" w14:textId="77777777" w:rsidR="00C63CA6" w:rsidRPr="00270255" w:rsidRDefault="00C63CA6" w:rsidP="00C63CA6">
            <w:pPr>
              <w:pStyle w:val="Brdtekst"/>
              <w:numPr>
                <w:ilvl w:val="0"/>
                <w:numId w:val="6"/>
              </w:numPr>
              <w:rPr>
                <w:rFonts w:ascii="Times New Roman" w:hAnsi="Times New Roman"/>
                <w:sz w:val="24"/>
                <w:szCs w:val="24"/>
              </w:rPr>
            </w:pPr>
            <w:r w:rsidRPr="00270255">
              <w:rPr>
                <w:rFonts w:ascii="Times New Roman" w:hAnsi="Times New Roman"/>
                <w:sz w:val="24"/>
                <w:szCs w:val="24"/>
              </w:rPr>
              <w:t xml:space="preserve">Hvis instrumenterne i henhold til de bestemmelser, som regulerer dem, skal konverteres til egentlige kernekapitalinstrumenter ved en udløsende hændelses indtræden, skal bestemmelserne nærmere angive følgende: </w:t>
            </w:r>
          </w:p>
          <w:p w14:paraId="65B6FDA3" w14:textId="77777777" w:rsidR="00C63CA6" w:rsidRPr="00270255" w:rsidRDefault="00C63CA6" w:rsidP="00C63CA6">
            <w:pPr>
              <w:pStyle w:val="Brdtekst"/>
              <w:numPr>
                <w:ilvl w:val="0"/>
                <w:numId w:val="8"/>
              </w:numPr>
              <w:ind w:left="1452"/>
              <w:rPr>
                <w:rFonts w:ascii="Times New Roman" w:hAnsi="Times New Roman"/>
                <w:sz w:val="24"/>
                <w:szCs w:val="24"/>
              </w:rPr>
            </w:pPr>
            <w:r w:rsidRPr="00270255">
              <w:rPr>
                <w:rFonts w:ascii="Times New Roman" w:hAnsi="Times New Roman"/>
                <w:sz w:val="24"/>
                <w:szCs w:val="24"/>
              </w:rPr>
              <w:t xml:space="preserve">konverteringsraten og grænsen for det beløb, som kan konverteres </w:t>
            </w:r>
          </w:p>
          <w:p w14:paraId="382D348D" w14:textId="77777777" w:rsidR="00C63CA6" w:rsidRPr="00270255" w:rsidRDefault="00C63CA6" w:rsidP="00C63CA6">
            <w:pPr>
              <w:pStyle w:val="Brdtekst"/>
              <w:numPr>
                <w:ilvl w:val="0"/>
                <w:numId w:val="8"/>
              </w:numPr>
              <w:ind w:left="1452"/>
              <w:rPr>
                <w:rFonts w:ascii="Times New Roman" w:hAnsi="Times New Roman"/>
                <w:sz w:val="24"/>
                <w:szCs w:val="24"/>
              </w:rPr>
            </w:pPr>
            <w:r w:rsidRPr="00270255">
              <w:rPr>
                <w:rFonts w:ascii="Times New Roman" w:hAnsi="Times New Roman"/>
                <w:sz w:val="24"/>
                <w:szCs w:val="24"/>
              </w:rPr>
              <w:t xml:space="preserve">et interval, inden for hvilket instrumenterne vil kunne konverteres til egentlige kernekapitalinstrumenter. </w:t>
            </w:r>
          </w:p>
          <w:p w14:paraId="3945D300" w14:textId="77777777" w:rsidR="00687D55" w:rsidRPr="00687D55" w:rsidRDefault="00C63CA6" w:rsidP="00687D55">
            <w:pPr>
              <w:pStyle w:val="Brdtekst"/>
              <w:numPr>
                <w:ilvl w:val="0"/>
                <w:numId w:val="6"/>
              </w:numPr>
              <w:rPr>
                <w:rFonts w:ascii="Times New Roman" w:hAnsi="Times New Roman"/>
                <w:sz w:val="24"/>
                <w:szCs w:val="24"/>
              </w:rPr>
            </w:pPr>
            <w:r w:rsidRPr="00687D55">
              <w:rPr>
                <w:rFonts w:ascii="Times New Roman" w:hAnsi="Times New Roman"/>
                <w:sz w:val="24"/>
                <w:szCs w:val="24"/>
              </w:rPr>
              <w:t xml:space="preserve">Hvis instrumenternes hovedstol i henhold til de bestemmelser, der regulerer instrumenterne, skal nedskrives ved en udløsende hændelses indtræden, skal nedskrivningen reducere samtlige af følgende: </w:t>
            </w:r>
          </w:p>
          <w:p w14:paraId="46BC6F4E" w14:textId="77777777" w:rsidR="00C63CA6" w:rsidRPr="00270255" w:rsidRDefault="00C63CA6" w:rsidP="00C63CA6">
            <w:pPr>
              <w:pStyle w:val="Brdtekst"/>
              <w:numPr>
                <w:ilvl w:val="0"/>
                <w:numId w:val="9"/>
              </w:numPr>
              <w:ind w:left="1452"/>
              <w:rPr>
                <w:rFonts w:ascii="Times New Roman" w:hAnsi="Times New Roman"/>
                <w:sz w:val="24"/>
                <w:szCs w:val="24"/>
              </w:rPr>
            </w:pPr>
            <w:r w:rsidRPr="00270255">
              <w:rPr>
                <w:rFonts w:ascii="Times New Roman" w:hAnsi="Times New Roman"/>
                <w:sz w:val="24"/>
                <w:szCs w:val="24"/>
              </w:rPr>
              <w:t>instrumentindehaverens krav ved instituttets insolvens eller likvidation</w:t>
            </w:r>
          </w:p>
          <w:p w14:paraId="4606E80A" w14:textId="77777777" w:rsidR="00C63CA6" w:rsidRPr="00270255" w:rsidRDefault="00C63CA6" w:rsidP="00C63CA6">
            <w:pPr>
              <w:pStyle w:val="Brdtekst"/>
              <w:numPr>
                <w:ilvl w:val="0"/>
                <w:numId w:val="9"/>
              </w:numPr>
              <w:ind w:left="1452"/>
              <w:rPr>
                <w:rFonts w:ascii="Times New Roman" w:hAnsi="Times New Roman"/>
                <w:sz w:val="24"/>
                <w:szCs w:val="24"/>
              </w:rPr>
            </w:pPr>
            <w:r w:rsidRPr="00270255">
              <w:rPr>
                <w:rFonts w:ascii="Times New Roman" w:hAnsi="Times New Roman"/>
                <w:sz w:val="24"/>
                <w:szCs w:val="24"/>
              </w:rPr>
              <w:t xml:space="preserve">det beløb, som skal udbetales, i tilfælde af at instrumentet førtidsindfries eller indfries </w:t>
            </w:r>
          </w:p>
          <w:p w14:paraId="1200A645" w14:textId="67D6FD98" w:rsidR="00C63CA6" w:rsidRPr="00687D55" w:rsidRDefault="00C63CA6" w:rsidP="00C9185F">
            <w:pPr>
              <w:pStyle w:val="Brdtekst"/>
              <w:numPr>
                <w:ilvl w:val="0"/>
                <w:numId w:val="9"/>
              </w:numPr>
              <w:ind w:left="1452"/>
              <w:rPr>
                <w:rFonts w:ascii="Times New Roman" w:hAnsi="Times New Roman"/>
                <w:sz w:val="24"/>
                <w:szCs w:val="24"/>
              </w:rPr>
            </w:pPr>
            <w:r w:rsidRPr="00270255">
              <w:rPr>
                <w:rFonts w:ascii="Times New Roman" w:hAnsi="Times New Roman"/>
                <w:sz w:val="24"/>
                <w:szCs w:val="24"/>
              </w:rPr>
              <w:t>udlodningerne på instrumentet.</w:t>
            </w:r>
          </w:p>
          <w:p w14:paraId="3DF7685A" w14:textId="77777777" w:rsidR="00687D55" w:rsidRDefault="00687D55" w:rsidP="00C9185F">
            <w:pPr>
              <w:pStyle w:val="Brdtekst"/>
              <w:numPr>
                <w:ilvl w:val="0"/>
                <w:numId w:val="6"/>
              </w:numPr>
              <w:rPr>
                <w:rFonts w:ascii="Times New Roman" w:hAnsi="Times New Roman"/>
                <w:sz w:val="24"/>
                <w:szCs w:val="24"/>
              </w:rPr>
            </w:pPr>
            <w:r w:rsidRPr="00113BE6">
              <w:rPr>
                <w:rFonts w:ascii="Times New Roman" w:hAnsi="Times New Roman"/>
                <w:sz w:val="24"/>
                <w:szCs w:val="24"/>
              </w:rPr>
              <w:t xml:space="preserve">Hvis hybride kernekapitalinstrumenter er udstedt af et datterselskab etableret i et tredjeland, beregnes udløseren på 5,125 % eller derover omhandlet i litra a) i overensstemmelse med det pågældende tredjelands nationale ret eller de kontraktlige bestemmelser, </w:t>
            </w:r>
            <w:r w:rsidRPr="00113BE6">
              <w:rPr>
                <w:rFonts w:ascii="Times New Roman" w:hAnsi="Times New Roman"/>
                <w:sz w:val="24"/>
                <w:szCs w:val="24"/>
              </w:rPr>
              <w:lastRenderedPageBreak/>
              <w:t>som regulerer instrumenterne, forudsat at den kompetente myndighed efter høring af EBA finder det godtgjort, at disse bestemmelser mindst svarer til de krav, der er fastsat i denne artikel</w:t>
            </w:r>
          </w:p>
          <w:p w14:paraId="576B22E1" w14:textId="77777777" w:rsidR="00C63CA6" w:rsidRPr="00270255" w:rsidRDefault="00C63CA6" w:rsidP="00C63CA6">
            <w:pPr>
              <w:pStyle w:val="Brdtekst"/>
              <w:rPr>
                <w:rFonts w:ascii="Times New Roman" w:hAnsi="Times New Roman"/>
                <w:sz w:val="24"/>
                <w:szCs w:val="24"/>
              </w:rPr>
            </w:pPr>
            <w:r w:rsidRPr="00270255">
              <w:rPr>
                <w:rFonts w:ascii="Times New Roman" w:hAnsi="Times New Roman"/>
                <w:sz w:val="24"/>
                <w:szCs w:val="24"/>
              </w:rPr>
              <w:t>Stk. 2. Nedskrivning eller konvertering af et hybridt kernekapitalinstrument skal i henhold til de gældende regnskabsregler generere elementer, der kvalificeres som egentlige kernekapitalposter.</w:t>
            </w:r>
          </w:p>
          <w:p w14:paraId="4425F7F1" w14:textId="77777777" w:rsidR="00C63CA6" w:rsidRPr="00270255" w:rsidRDefault="00C63CA6" w:rsidP="00C63CA6">
            <w:pPr>
              <w:pStyle w:val="Brdtekst"/>
              <w:rPr>
                <w:rFonts w:ascii="Times New Roman" w:hAnsi="Times New Roman"/>
                <w:sz w:val="24"/>
                <w:szCs w:val="24"/>
              </w:rPr>
            </w:pPr>
            <w:r w:rsidRPr="00270255">
              <w:rPr>
                <w:rFonts w:ascii="Times New Roman" w:hAnsi="Times New Roman"/>
                <w:sz w:val="24"/>
                <w:szCs w:val="24"/>
              </w:rPr>
              <w:t xml:space="preserve">Stk. 3. Værdien af hybride kernekapitalinstrumenter, der anerkendes som hybride kernekapitalposter, er begrænset til minimumsværdien af de egentlige kernekapitalposter, der ville blive genereret, hvis hovedstolen af de hybride kernekapitalinstrumenter blev nedskrevet fuldt ud eller konverteret til egentlige kernekapitalinstrumenter. </w:t>
            </w:r>
          </w:p>
          <w:p w14:paraId="7FA5A918" w14:textId="77777777" w:rsidR="00C63CA6" w:rsidRPr="00270255" w:rsidRDefault="00C63CA6" w:rsidP="00C63CA6">
            <w:pPr>
              <w:pStyle w:val="Brdtekst"/>
              <w:rPr>
                <w:rFonts w:ascii="Times New Roman" w:hAnsi="Times New Roman"/>
                <w:sz w:val="24"/>
                <w:szCs w:val="24"/>
              </w:rPr>
            </w:pPr>
            <w:r w:rsidRPr="00270255">
              <w:rPr>
                <w:rFonts w:ascii="Times New Roman" w:hAnsi="Times New Roman"/>
                <w:sz w:val="24"/>
                <w:szCs w:val="24"/>
              </w:rPr>
              <w:t xml:space="preserve">Stk. 4. Den samlede værdi af hybride kernekapitalinstrumenter, der skal nedskrives eller konverteres ved en udløsende hændelses indtræden, er ikke mindre end den laveste værdi af følgende: </w:t>
            </w:r>
          </w:p>
          <w:p w14:paraId="1155080A" w14:textId="77777777" w:rsidR="00C63CA6" w:rsidRPr="00270255" w:rsidRDefault="00C63CA6" w:rsidP="00C63CA6">
            <w:pPr>
              <w:pStyle w:val="Brdtekst"/>
              <w:numPr>
                <w:ilvl w:val="1"/>
                <w:numId w:val="10"/>
              </w:numPr>
              <w:ind w:left="743"/>
              <w:rPr>
                <w:rFonts w:ascii="Times New Roman" w:hAnsi="Times New Roman"/>
                <w:sz w:val="24"/>
                <w:szCs w:val="24"/>
              </w:rPr>
            </w:pPr>
            <w:r w:rsidRPr="00270255">
              <w:rPr>
                <w:rFonts w:ascii="Times New Roman" w:hAnsi="Times New Roman"/>
                <w:sz w:val="24"/>
                <w:szCs w:val="24"/>
              </w:rPr>
              <w:t xml:space="preserve">den værdi, der er kræves for at bringe instituttets egentlige kernekapitalprocent helt op på 5,125 % </w:t>
            </w:r>
          </w:p>
          <w:p w14:paraId="0622271A" w14:textId="77777777" w:rsidR="00C66B65" w:rsidRDefault="00C63CA6" w:rsidP="00C63CA6">
            <w:pPr>
              <w:pStyle w:val="Brdtekst"/>
              <w:numPr>
                <w:ilvl w:val="1"/>
                <w:numId w:val="10"/>
              </w:numPr>
              <w:ind w:left="743"/>
              <w:rPr>
                <w:rFonts w:ascii="Times New Roman" w:hAnsi="Times New Roman"/>
                <w:sz w:val="24"/>
                <w:szCs w:val="24"/>
              </w:rPr>
            </w:pPr>
            <w:r w:rsidRPr="00270255">
              <w:rPr>
                <w:rFonts w:ascii="Times New Roman" w:hAnsi="Times New Roman"/>
                <w:sz w:val="24"/>
                <w:szCs w:val="24"/>
              </w:rPr>
              <w:t xml:space="preserve">hele instrumentets hovedstol. </w:t>
            </w:r>
          </w:p>
          <w:p w14:paraId="6742BE26" w14:textId="77777777" w:rsidR="000F1D6F" w:rsidRPr="0049685A" w:rsidRDefault="000F1D6F" w:rsidP="00855188">
            <w:pPr>
              <w:pStyle w:val="Brdtekst"/>
              <w:ind w:left="743"/>
              <w:rPr>
                <w:rFonts w:ascii="Times New Roman" w:hAnsi="Times New Roman"/>
                <w:sz w:val="24"/>
                <w:szCs w:val="24"/>
              </w:rPr>
            </w:pPr>
          </w:p>
        </w:tc>
      </w:tr>
      <w:tr w:rsidR="00FC6314" w:rsidRPr="00270255" w14:paraId="6FD0CDC0" w14:textId="77777777" w:rsidTr="00A81CA0">
        <w:tc>
          <w:tcPr>
            <w:tcW w:w="3544" w:type="dxa"/>
          </w:tcPr>
          <w:p w14:paraId="51CBC397" w14:textId="77777777" w:rsidR="002B4CD6" w:rsidRPr="00270255" w:rsidRDefault="002B4CD6" w:rsidP="002B4CD6">
            <w:pPr>
              <w:rPr>
                <w:b/>
                <w:u w:val="single"/>
              </w:rPr>
            </w:pPr>
            <w:r w:rsidRPr="00270255">
              <w:rPr>
                <w:b/>
                <w:u w:val="single"/>
              </w:rPr>
              <w:lastRenderedPageBreak/>
              <w:t xml:space="preserve">Spørgsmål </w:t>
            </w:r>
            <w:r w:rsidR="00B54D5C">
              <w:rPr>
                <w:b/>
                <w:u w:val="single"/>
              </w:rPr>
              <w:t>7</w:t>
            </w:r>
            <w:r w:rsidRPr="00270255">
              <w:rPr>
                <w:b/>
                <w:u w:val="single"/>
              </w:rPr>
              <w:t>.</w:t>
            </w:r>
            <w:r w:rsidR="00A936F2">
              <w:rPr>
                <w:b/>
                <w:u w:val="single"/>
              </w:rPr>
              <w:t>1</w:t>
            </w:r>
            <w:r w:rsidRPr="00270255">
              <w:rPr>
                <w:b/>
                <w:u w:val="single"/>
              </w:rPr>
              <w:t>:</w:t>
            </w:r>
          </w:p>
          <w:p w14:paraId="111B4F9A" w14:textId="77777777" w:rsidR="002B4CD6" w:rsidRDefault="002B4CD6" w:rsidP="002B4CD6">
            <w:r w:rsidRPr="00270255">
              <w:t>Opfylder instituttets hybride kernekapitalinstrumenter</w:t>
            </w:r>
            <w:r w:rsidR="000C4893" w:rsidRPr="00270255">
              <w:t xml:space="preserve">, </w:t>
            </w:r>
            <w:r w:rsidR="000C4893" w:rsidRPr="009C4E7B">
              <w:t>der er udstedt efter 1. januar 2014</w:t>
            </w:r>
            <w:r w:rsidR="000C4893" w:rsidRPr="00270255">
              <w:t>,</w:t>
            </w:r>
            <w:r w:rsidRPr="00270255">
              <w:t xml:space="preserve"> betingelserne i </w:t>
            </w:r>
            <w:r w:rsidR="00C63CA6" w:rsidRPr="00270255">
              <w:t xml:space="preserve">artikel 52, </w:t>
            </w:r>
            <w:r w:rsidRPr="00270255">
              <w:t>litra a-</w:t>
            </w:r>
            <w:r w:rsidR="00FD459A" w:rsidRPr="00270255">
              <w:t>p</w:t>
            </w:r>
            <w:r w:rsidRPr="00270255">
              <w:t>?</w:t>
            </w:r>
            <w:r w:rsidR="00FD459A" w:rsidRPr="00270255">
              <w:t xml:space="preserve"> </w:t>
            </w:r>
          </w:p>
          <w:p w14:paraId="5FC96EF5" w14:textId="77777777" w:rsidR="00C453BD" w:rsidRPr="00270255" w:rsidRDefault="00C453BD" w:rsidP="002B4CD6"/>
          <w:p w14:paraId="4DB286B1" w14:textId="77777777" w:rsidR="002B4CD6" w:rsidRPr="00270255" w:rsidRDefault="002C58C5" w:rsidP="002B4CD6">
            <w:r w:rsidRPr="00270255">
              <w:t xml:space="preserve">I relation til litra c </w:t>
            </w:r>
            <w:r w:rsidR="002B4CD6" w:rsidRPr="00270255">
              <w:t xml:space="preserve">henvises til uddybende spørgsmål </w:t>
            </w:r>
            <w:r w:rsidR="009C4E7B">
              <w:t xml:space="preserve">i tabel 3 </w:t>
            </w:r>
            <w:r w:rsidR="002B4CD6" w:rsidRPr="00270255">
              <w:t>om indirekte finansiering</w:t>
            </w:r>
          </w:p>
          <w:p w14:paraId="54E61E66" w14:textId="77777777" w:rsidR="00FD459A" w:rsidRPr="00270255" w:rsidRDefault="00FD459A" w:rsidP="002B4CD6"/>
          <w:p w14:paraId="1B2910B0" w14:textId="77777777" w:rsidR="00FD459A" w:rsidRPr="00270255" w:rsidRDefault="00FD459A" w:rsidP="00FD459A">
            <w:r w:rsidRPr="00270255">
              <w:t>I relation til litra l henvises til udbydende bestemmelse i art</w:t>
            </w:r>
            <w:r w:rsidR="00C63CA6" w:rsidRPr="00270255">
              <w:t>ikel</w:t>
            </w:r>
            <w:r w:rsidRPr="00270255">
              <w:t xml:space="preserve"> 53 om udlodning.</w:t>
            </w:r>
          </w:p>
          <w:p w14:paraId="1171FD6B" w14:textId="77777777" w:rsidR="00FD459A" w:rsidRPr="00270255" w:rsidRDefault="00FD459A" w:rsidP="00FD459A"/>
          <w:p w14:paraId="5D139E4D" w14:textId="77777777" w:rsidR="00D22627" w:rsidRDefault="00FD459A" w:rsidP="007B41CE">
            <w:r w:rsidRPr="00270255">
              <w:t xml:space="preserve">I relation til litra n henvises til uddybende </w:t>
            </w:r>
            <w:r w:rsidR="00C63CA6" w:rsidRPr="00270255">
              <w:t>bestemmelse i artikel 54</w:t>
            </w:r>
            <w:r w:rsidRPr="00270255">
              <w:t xml:space="preserve"> om nedskrivning og konvertering</w:t>
            </w:r>
          </w:p>
          <w:p w14:paraId="54ACE529" w14:textId="77777777" w:rsidR="000F1D6F" w:rsidRDefault="000F1D6F" w:rsidP="007B41CE"/>
          <w:p w14:paraId="5AB4EF6B" w14:textId="77777777" w:rsidR="00E83994" w:rsidRDefault="00E83994" w:rsidP="007B41CE"/>
          <w:p w14:paraId="6A51B5EF" w14:textId="77777777" w:rsidR="00E83994" w:rsidRDefault="00E83994" w:rsidP="007B41CE"/>
          <w:p w14:paraId="5BBD7866" w14:textId="77777777" w:rsidR="00E83994" w:rsidRDefault="00E83994" w:rsidP="007B41CE"/>
          <w:p w14:paraId="0EC0D473" w14:textId="77777777" w:rsidR="00E83994" w:rsidRPr="00270255" w:rsidRDefault="00E83994" w:rsidP="007B41CE"/>
        </w:tc>
        <w:tc>
          <w:tcPr>
            <w:tcW w:w="851" w:type="dxa"/>
          </w:tcPr>
          <w:p w14:paraId="16A2E8C4" w14:textId="77777777" w:rsidR="00FC6314" w:rsidRPr="00270255" w:rsidRDefault="00FC6314" w:rsidP="00A81CA0">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02C86865" w14:textId="77777777" w:rsidR="00FC6314" w:rsidRPr="00270255" w:rsidRDefault="00FC6314" w:rsidP="00A81CA0"/>
        </w:tc>
        <w:tc>
          <w:tcPr>
            <w:tcW w:w="6946" w:type="dxa"/>
          </w:tcPr>
          <w:p w14:paraId="5D599F37" w14:textId="77777777" w:rsidR="00FC6314" w:rsidRPr="00270255" w:rsidRDefault="00FC6314" w:rsidP="00A81CA0">
            <w:pPr>
              <w:snapToGrid w:val="0"/>
            </w:pPr>
            <w:r w:rsidRPr="00270255">
              <w:t>Redegørelse</w:t>
            </w:r>
          </w:p>
          <w:p w14:paraId="523DE77C" w14:textId="77777777" w:rsidR="00FC6314" w:rsidRPr="00270255" w:rsidRDefault="00FC6314"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BE65D1C" w14:textId="77777777" w:rsidR="00FC6314" w:rsidRPr="00270255" w:rsidRDefault="00FC6314" w:rsidP="00A81CA0">
            <w:pPr>
              <w:snapToGrid w:val="0"/>
            </w:pPr>
          </w:p>
        </w:tc>
        <w:tc>
          <w:tcPr>
            <w:tcW w:w="2268" w:type="dxa"/>
          </w:tcPr>
          <w:p w14:paraId="3F8EC593" w14:textId="77777777" w:rsidR="00FC6314" w:rsidRPr="00270255" w:rsidRDefault="00FC6314" w:rsidP="00A81CA0">
            <w:pPr>
              <w:snapToGrid w:val="0"/>
            </w:pPr>
            <w:r w:rsidRPr="00270255">
              <w:t>Forbeholdt Finanstilsynet</w:t>
            </w:r>
          </w:p>
          <w:p w14:paraId="633E8067" w14:textId="77777777" w:rsidR="00FC6314" w:rsidRPr="00270255" w:rsidRDefault="00FC6314" w:rsidP="00A81CA0">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1F158F" w:rsidRPr="00270255" w14:paraId="764224DE" w14:textId="77777777" w:rsidTr="00822A18">
        <w:tc>
          <w:tcPr>
            <w:tcW w:w="13609" w:type="dxa"/>
            <w:gridSpan w:val="4"/>
          </w:tcPr>
          <w:p w14:paraId="387232E4" w14:textId="77777777" w:rsidR="001F158F" w:rsidRPr="00270255" w:rsidRDefault="001F158F" w:rsidP="00822A18">
            <w:pPr>
              <w:pStyle w:val="Brdtekst"/>
              <w:rPr>
                <w:rFonts w:ascii="Times New Roman" w:hAnsi="Times New Roman"/>
                <w:sz w:val="24"/>
                <w:szCs w:val="24"/>
              </w:rPr>
            </w:pPr>
            <w:r w:rsidRPr="00270255">
              <w:rPr>
                <w:rFonts w:ascii="Times New Roman" w:hAnsi="Times New Roman"/>
                <w:sz w:val="24"/>
                <w:szCs w:val="24"/>
              </w:rPr>
              <w:lastRenderedPageBreak/>
              <w:t>Af CRR artikel 54 fremgår desuden:</w:t>
            </w:r>
          </w:p>
          <w:p w14:paraId="10171D49" w14:textId="77777777" w:rsidR="001F158F" w:rsidRPr="00270255" w:rsidRDefault="001F158F" w:rsidP="00822A18">
            <w:pPr>
              <w:pStyle w:val="Brdtekst"/>
              <w:rPr>
                <w:rFonts w:ascii="Times New Roman" w:hAnsi="Times New Roman"/>
                <w:sz w:val="24"/>
                <w:szCs w:val="24"/>
              </w:rPr>
            </w:pPr>
          </w:p>
          <w:p w14:paraId="61CB45CB" w14:textId="77777777" w:rsidR="001F158F" w:rsidRPr="00270255" w:rsidRDefault="001F158F" w:rsidP="00822A18">
            <w:pPr>
              <w:pStyle w:val="Brdtekst"/>
              <w:rPr>
                <w:rFonts w:ascii="Times New Roman" w:hAnsi="Times New Roman"/>
                <w:sz w:val="24"/>
                <w:szCs w:val="24"/>
              </w:rPr>
            </w:pPr>
            <w:r w:rsidRPr="00270255">
              <w:rPr>
                <w:rFonts w:ascii="Times New Roman" w:hAnsi="Times New Roman"/>
                <w:sz w:val="24"/>
                <w:szCs w:val="24"/>
              </w:rPr>
              <w:t xml:space="preserve">Stk. 5. Når en udløsende hændelse indtræffer, træffer institutterne følgende foranstaltninger: </w:t>
            </w:r>
          </w:p>
          <w:p w14:paraId="4E417980" w14:textId="77777777" w:rsidR="001F158F" w:rsidRPr="00270255" w:rsidRDefault="001F158F" w:rsidP="00200B89">
            <w:pPr>
              <w:pStyle w:val="Brdtekst"/>
              <w:numPr>
                <w:ilvl w:val="0"/>
                <w:numId w:val="11"/>
              </w:numPr>
              <w:ind w:left="743"/>
              <w:rPr>
                <w:rFonts w:ascii="Times New Roman" w:hAnsi="Times New Roman"/>
                <w:sz w:val="24"/>
                <w:szCs w:val="24"/>
              </w:rPr>
            </w:pPr>
            <w:r w:rsidRPr="00270255">
              <w:rPr>
                <w:rFonts w:ascii="Times New Roman" w:hAnsi="Times New Roman"/>
                <w:sz w:val="24"/>
                <w:szCs w:val="24"/>
              </w:rPr>
              <w:t xml:space="preserve">De underretter omgående Finanstilsynet. </w:t>
            </w:r>
          </w:p>
          <w:p w14:paraId="40DF0DE6" w14:textId="77777777" w:rsidR="001F158F" w:rsidRPr="00270255" w:rsidRDefault="001F158F" w:rsidP="00200B89">
            <w:pPr>
              <w:pStyle w:val="Brdtekst"/>
              <w:numPr>
                <w:ilvl w:val="0"/>
                <w:numId w:val="11"/>
              </w:numPr>
              <w:ind w:left="743"/>
              <w:rPr>
                <w:rFonts w:ascii="Times New Roman" w:hAnsi="Times New Roman"/>
                <w:sz w:val="24"/>
                <w:szCs w:val="24"/>
              </w:rPr>
            </w:pPr>
            <w:r w:rsidRPr="00270255">
              <w:rPr>
                <w:rFonts w:ascii="Times New Roman" w:hAnsi="Times New Roman"/>
                <w:sz w:val="24"/>
                <w:szCs w:val="24"/>
              </w:rPr>
              <w:t xml:space="preserve">De underretter indehaverne af de hybride kernekapitalinstrumenter. </w:t>
            </w:r>
          </w:p>
          <w:p w14:paraId="482507B2" w14:textId="77777777" w:rsidR="001F158F" w:rsidRPr="00270255" w:rsidRDefault="001F158F" w:rsidP="00200B89">
            <w:pPr>
              <w:pStyle w:val="Brdtekst"/>
              <w:numPr>
                <w:ilvl w:val="0"/>
                <w:numId w:val="11"/>
              </w:numPr>
              <w:ind w:left="743"/>
              <w:rPr>
                <w:rFonts w:ascii="Times New Roman" w:hAnsi="Times New Roman"/>
                <w:sz w:val="24"/>
                <w:szCs w:val="24"/>
              </w:rPr>
            </w:pPr>
            <w:r w:rsidRPr="00270255">
              <w:rPr>
                <w:rFonts w:ascii="Times New Roman" w:hAnsi="Times New Roman"/>
                <w:sz w:val="24"/>
                <w:szCs w:val="24"/>
              </w:rPr>
              <w:t xml:space="preserve">De nedskriver instrumenternes hovedstol eller konverterer omgående og inden for en måned instrumenterne til egentlige kernekapitalinstrumenter i overensstemmelse med det krav, der er fastsat i denne artikel. </w:t>
            </w:r>
          </w:p>
          <w:p w14:paraId="4FA51B05" w14:textId="77777777" w:rsidR="001F158F" w:rsidRPr="00270255" w:rsidRDefault="001F158F" w:rsidP="00822A18">
            <w:pPr>
              <w:pStyle w:val="Brdtekst"/>
              <w:rPr>
                <w:rFonts w:ascii="Times New Roman" w:hAnsi="Times New Roman"/>
                <w:sz w:val="24"/>
                <w:szCs w:val="24"/>
              </w:rPr>
            </w:pPr>
            <w:r w:rsidRPr="00270255">
              <w:rPr>
                <w:rFonts w:ascii="Times New Roman" w:hAnsi="Times New Roman"/>
                <w:sz w:val="24"/>
                <w:szCs w:val="24"/>
              </w:rPr>
              <w:t xml:space="preserve">Stk. 6. Et institut, der udsteder hybride kernekapitalinstrumenter, som ved en udløsende hændelse konverteres til egentlige kernekapitalinstrumenter, skal til enhver tid sikre en tilstrækkelig aktiekapital i forbindelse med konverteringen af alle de pågældende konverterbare hybride kernekapitalinstrumenter til aktier, hvis en udløsende hændelse indtræffer. Alle nødvendige tilladelser skal være indhentet på datoen for udstedelse af de pågældende konvertible hybride kernekapitalinstrumenter. Instituttet skal til enhver tid være i besiddelse af den nødvendige forhåndstilladelse til at udstede de egentlige kernekapitalinstrumenter, som de hybride kernekapitalinstrumenter konverteres til i tilfælde af en udløsende hændelse. </w:t>
            </w:r>
          </w:p>
          <w:p w14:paraId="0C0A631D" w14:textId="77777777" w:rsidR="001F158F" w:rsidRDefault="001F158F" w:rsidP="00822A18">
            <w:pPr>
              <w:pStyle w:val="Brdtekst"/>
              <w:rPr>
                <w:rFonts w:ascii="Times New Roman" w:hAnsi="Times New Roman"/>
                <w:sz w:val="24"/>
                <w:szCs w:val="24"/>
              </w:rPr>
            </w:pPr>
            <w:r w:rsidRPr="00270255">
              <w:rPr>
                <w:rFonts w:ascii="Times New Roman" w:hAnsi="Times New Roman"/>
                <w:sz w:val="24"/>
                <w:szCs w:val="24"/>
              </w:rPr>
              <w:t xml:space="preserve">Stk. 7. Et institut, der udsteder hybride kernekapitalinstrumenter, som ved en udløsende hændelse konverteres til egentlige kernekapitalinstrumenter, skal sikre, at der ikke i dets stiftelsesoverenskomst eller vedtægter eller kontraktslige ordninger er nogen proceduremæssige hindringer for den pågældende konvertering. </w:t>
            </w:r>
          </w:p>
          <w:p w14:paraId="05891047" w14:textId="77777777" w:rsidR="00855188" w:rsidRPr="00270255" w:rsidRDefault="00855188" w:rsidP="00822A18">
            <w:pPr>
              <w:pStyle w:val="Brdtekst"/>
              <w:rPr>
                <w:rFonts w:ascii="Times New Roman" w:hAnsi="Times New Roman"/>
                <w:sz w:val="24"/>
                <w:szCs w:val="24"/>
              </w:rPr>
            </w:pPr>
          </w:p>
        </w:tc>
      </w:tr>
      <w:tr w:rsidR="001F158F" w:rsidRPr="00270255" w14:paraId="557FBE1F" w14:textId="77777777" w:rsidTr="00A81CA0">
        <w:tc>
          <w:tcPr>
            <w:tcW w:w="3544" w:type="dxa"/>
          </w:tcPr>
          <w:p w14:paraId="628D57E0" w14:textId="77777777" w:rsidR="001F158F" w:rsidRPr="00270255" w:rsidRDefault="001F158F" w:rsidP="00822A18">
            <w:pPr>
              <w:rPr>
                <w:b/>
                <w:u w:val="single"/>
              </w:rPr>
            </w:pPr>
            <w:r w:rsidRPr="00270255">
              <w:rPr>
                <w:b/>
                <w:u w:val="single"/>
              </w:rPr>
              <w:t xml:space="preserve">Spørgsmål </w:t>
            </w:r>
            <w:r w:rsidR="00B54D5C">
              <w:rPr>
                <w:b/>
                <w:u w:val="single"/>
              </w:rPr>
              <w:t>7</w:t>
            </w:r>
            <w:r w:rsidRPr="00270255">
              <w:rPr>
                <w:b/>
                <w:u w:val="single"/>
              </w:rPr>
              <w:t>.</w:t>
            </w:r>
            <w:r w:rsidR="00A936F2">
              <w:rPr>
                <w:b/>
                <w:u w:val="single"/>
              </w:rPr>
              <w:t>2</w:t>
            </w:r>
          </w:p>
          <w:p w14:paraId="637116B2" w14:textId="77777777" w:rsidR="001F158F" w:rsidRPr="00270255" w:rsidRDefault="001F158F" w:rsidP="00822A18">
            <w:r w:rsidRPr="00270255">
              <w:t>Har instituttet indarbejdet de nævnte foranstaltninger i artikel 54, stk. 5 i sin</w:t>
            </w:r>
            <w:r w:rsidR="00A936F2">
              <w:t>e procedurer</w:t>
            </w:r>
            <w:r w:rsidRPr="00270255">
              <w:t>?</w:t>
            </w:r>
          </w:p>
          <w:p w14:paraId="0480A134" w14:textId="77777777" w:rsidR="001F158F" w:rsidRPr="00270255" w:rsidRDefault="001F158F" w:rsidP="00822A18"/>
        </w:tc>
        <w:tc>
          <w:tcPr>
            <w:tcW w:w="851" w:type="dxa"/>
          </w:tcPr>
          <w:p w14:paraId="55B50901" w14:textId="77777777" w:rsidR="001F158F" w:rsidRPr="00270255" w:rsidRDefault="001F158F" w:rsidP="00822A18">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1D273F49" w14:textId="77777777" w:rsidR="001F158F" w:rsidRPr="00270255" w:rsidRDefault="001F158F" w:rsidP="00822A18"/>
        </w:tc>
        <w:tc>
          <w:tcPr>
            <w:tcW w:w="6946" w:type="dxa"/>
          </w:tcPr>
          <w:p w14:paraId="05B397C8" w14:textId="77777777" w:rsidR="001F158F" w:rsidRPr="00270255" w:rsidRDefault="001F158F" w:rsidP="00822A18">
            <w:pPr>
              <w:snapToGrid w:val="0"/>
            </w:pPr>
            <w:r w:rsidRPr="00270255">
              <w:t>Redegørelse</w:t>
            </w:r>
          </w:p>
          <w:p w14:paraId="55D29957" w14:textId="77777777" w:rsidR="001F158F" w:rsidRPr="00270255" w:rsidRDefault="001F158F" w:rsidP="00822A1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0B51759A" w14:textId="77777777" w:rsidR="001F158F" w:rsidRPr="00270255" w:rsidRDefault="001F158F" w:rsidP="00822A18">
            <w:pPr>
              <w:snapToGrid w:val="0"/>
            </w:pPr>
          </w:p>
        </w:tc>
        <w:tc>
          <w:tcPr>
            <w:tcW w:w="2268" w:type="dxa"/>
          </w:tcPr>
          <w:p w14:paraId="4F194400" w14:textId="77777777" w:rsidR="001F158F" w:rsidRPr="00270255" w:rsidRDefault="001F158F" w:rsidP="00822A18">
            <w:pPr>
              <w:snapToGrid w:val="0"/>
            </w:pPr>
            <w:r w:rsidRPr="00270255">
              <w:t>Forbeholdt Finanstilsynet</w:t>
            </w:r>
          </w:p>
          <w:p w14:paraId="1752908A" w14:textId="77777777" w:rsidR="001F158F" w:rsidRPr="00270255" w:rsidRDefault="001F158F" w:rsidP="00822A1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1F158F" w:rsidRPr="00270255" w14:paraId="537400DE" w14:textId="77777777" w:rsidTr="00A81CA0">
        <w:tc>
          <w:tcPr>
            <w:tcW w:w="3544" w:type="dxa"/>
          </w:tcPr>
          <w:p w14:paraId="20AD89C0" w14:textId="77777777" w:rsidR="001F158F" w:rsidRPr="00270255" w:rsidRDefault="001F158F" w:rsidP="00822A18">
            <w:pPr>
              <w:rPr>
                <w:b/>
                <w:u w:val="single"/>
              </w:rPr>
            </w:pPr>
            <w:r w:rsidRPr="00270255">
              <w:rPr>
                <w:b/>
                <w:u w:val="single"/>
              </w:rPr>
              <w:t xml:space="preserve">Spørgsmål </w:t>
            </w:r>
            <w:r w:rsidR="00B54D5C">
              <w:rPr>
                <w:b/>
                <w:u w:val="single"/>
              </w:rPr>
              <w:t>7</w:t>
            </w:r>
            <w:r w:rsidRPr="00270255">
              <w:rPr>
                <w:b/>
                <w:u w:val="single"/>
              </w:rPr>
              <w:t>.</w:t>
            </w:r>
            <w:r w:rsidR="00A936F2">
              <w:rPr>
                <w:b/>
                <w:u w:val="single"/>
              </w:rPr>
              <w:t>3</w:t>
            </w:r>
          </w:p>
          <w:p w14:paraId="3C8A4019" w14:textId="77777777" w:rsidR="001F158F" w:rsidRDefault="001F158F" w:rsidP="00DF66C3">
            <w:r w:rsidRPr="00270255">
              <w:t xml:space="preserve">Har instituttet indhentet de fornødne forhåndstilladelser i henhold til artikel 54, stk. 6 til at udstede de egentlige kernekapitalinstrumenter, som </w:t>
            </w:r>
            <w:r w:rsidR="00F72A11">
              <w:t>udstedte</w:t>
            </w:r>
            <w:r w:rsidR="00F72A11" w:rsidRPr="00270255">
              <w:t xml:space="preserve"> </w:t>
            </w:r>
            <w:r w:rsidRPr="00270255">
              <w:t>hybride kernekapitalinstrumenter konverteres til?</w:t>
            </w:r>
          </w:p>
          <w:p w14:paraId="1EC9E583" w14:textId="77777777" w:rsidR="00E83994" w:rsidRDefault="00E83994" w:rsidP="00DF66C3"/>
          <w:p w14:paraId="427691AE" w14:textId="77777777" w:rsidR="00E83994" w:rsidRPr="00270255" w:rsidRDefault="00E83994" w:rsidP="00DF66C3"/>
          <w:p w14:paraId="59BF97CD" w14:textId="77777777" w:rsidR="001F158F" w:rsidRPr="00270255" w:rsidRDefault="001F158F" w:rsidP="00DF66C3"/>
        </w:tc>
        <w:tc>
          <w:tcPr>
            <w:tcW w:w="851" w:type="dxa"/>
          </w:tcPr>
          <w:p w14:paraId="262F7A47" w14:textId="77777777" w:rsidR="001F158F" w:rsidRPr="00270255" w:rsidRDefault="001F158F" w:rsidP="00822A18">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0672B15D" w14:textId="77777777" w:rsidR="001F158F" w:rsidRPr="00270255" w:rsidRDefault="001F158F" w:rsidP="00822A18"/>
        </w:tc>
        <w:tc>
          <w:tcPr>
            <w:tcW w:w="6946" w:type="dxa"/>
          </w:tcPr>
          <w:p w14:paraId="790AFFC5" w14:textId="77777777" w:rsidR="001F158F" w:rsidRPr="00270255" w:rsidRDefault="001F158F" w:rsidP="00822A18">
            <w:pPr>
              <w:snapToGrid w:val="0"/>
            </w:pPr>
            <w:r w:rsidRPr="00270255">
              <w:t>Redegørelse</w:t>
            </w:r>
          </w:p>
          <w:p w14:paraId="3603113E" w14:textId="77777777" w:rsidR="001F158F" w:rsidRPr="00270255" w:rsidRDefault="001F158F" w:rsidP="00822A1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EB947EC" w14:textId="77777777" w:rsidR="001F158F" w:rsidRPr="00270255" w:rsidRDefault="001F158F" w:rsidP="00822A18">
            <w:pPr>
              <w:snapToGrid w:val="0"/>
            </w:pPr>
          </w:p>
        </w:tc>
        <w:tc>
          <w:tcPr>
            <w:tcW w:w="2268" w:type="dxa"/>
          </w:tcPr>
          <w:p w14:paraId="1508FEC1" w14:textId="77777777" w:rsidR="001F158F" w:rsidRPr="00270255" w:rsidRDefault="001F158F" w:rsidP="00822A18">
            <w:pPr>
              <w:snapToGrid w:val="0"/>
            </w:pPr>
            <w:r w:rsidRPr="00270255">
              <w:t>Forbeholdt Finanstilsynet</w:t>
            </w:r>
          </w:p>
          <w:p w14:paraId="1521F9AC" w14:textId="77777777" w:rsidR="001F158F" w:rsidRPr="00270255" w:rsidRDefault="001F158F" w:rsidP="00822A1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1F158F" w:rsidRPr="00270255" w14:paraId="0A204E1E" w14:textId="77777777" w:rsidTr="00A81CA0">
        <w:tc>
          <w:tcPr>
            <w:tcW w:w="3544" w:type="dxa"/>
          </w:tcPr>
          <w:p w14:paraId="24522622" w14:textId="77777777" w:rsidR="001F158F" w:rsidRPr="00270255" w:rsidRDefault="001F158F" w:rsidP="00822A18">
            <w:pPr>
              <w:rPr>
                <w:b/>
                <w:u w:val="single"/>
              </w:rPr>
            </w:pPr>
            <w:r w:rsidRPr="00270255">
              <w:rPr>
                <w:b/>
                <w:u w:val="single"/>
              </w:rPr>
              <w:lastRenderedPageBreak/>
              <w:t xml:space="preserve">Spørgsmål </w:t>
            </w:r>
            <w:r w:rsidR="00B54D5C">
              <w:rPr>
                <w:b/>
                <w:u w:val="single"/>
              </w:rPr>
              <w:t>7</w:t>
            </w:r>
            <w:r w:rsidRPr="00270255">
              <w:rPr>
                <w:b/>
                <w:u w:val="single"/>
              </w:rPr>
              <w:t>.</w:t>
            </w:r>
            <w:r w:rsidR="00A936F2">
              <w:rPr>
                <w:b/>
                <w:u w:val="single"/>
              </w:rPr>
              <w:t>4</w:t>
            </w:r>
          </w:p>
          <w:p w14:paraId="7E8DA5E3" w14:textId="77777777" w:rsidR="001F158F" w:rsidRPr="00270255" w:rsidRDefault="001F158F" w:rsidP="00DF66C3">
            <w:r w:rsidRPr="00270255">
              <w:t>Har instituttet i henhold til artikel 54, stk. 7 sikret, at der ikke i dets vedtægter eller kontraktlige ordninger er proceduremæssige hindringer for en evt. konvertering?</w:t>
            </w:r>
          </w:p>
          <w:p w14:paraId="1B21F6DE" w14:textId="77777777" w:rsidR="001F158F" w:rsidRPr="00270255" w:rsidRDefault="001F158F" w:rsidP="00DF66C3"/>
        </w:tc>
        <w:tc>
          <w:tcPr>
            <w:tcW w:w="851" w:type="dxa"/>
          </w:tcPr>
          <w:p w14:paraId="010870CE" w14:textId="77777777" w:rsidR="001F158F" w:rsidRPr="00270255" w:rsidRDefault="001F158F" w:rsidP="00822A18">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3BDC2D42" w14:textId="77777777" w:rsidR="001F158F" w:rsidRPr="00270255" w:rsidRDefault="001F158F" w:rsidP="00822A18"/>
        </w:tc>
        <w:tc>
          <w:tcPr>
            <w:tcW w:w="6946" w:type="dxa"/>
          </w:tcPr>
          <w:p w14:paraId="08C10D14" w14:textId="77777777" w:rsidR="001F158F" w:rsidRPr="00270255" w:rsidRDefault="001F158F" w:rsidP="00822A18">
            <w:pPr>
              <w:snapToGrid w:val="0"/>
            </w:pPr>
            <w:r w:rsidRPr="00270255">
              <w:t>Redegørelse</w:t>
            </w:r>
          </w:p>
          <w:p w14:paraId="711F7DDF" w14:textId="77777777" w:rsidR="001F158F" w:rsidRPr="00270255" w:rsidRDefault="001F158F" w:rsidP="00822A1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02CCA66" w14:textId="77777777" w:rsidR="001F158F" w:rsidRPr="00270255" w:rsidRDefault="001F158F" w:rsidP="00822A18">
            <w:pPr>
              <w:snapToGrid w:val="0"/>
            </w:pPr>
          </w:p>
        </w:tc>
        <w:tc>
          <w:tcPr>
            <w:tcW w:w="2268" w:type="dxa"/>
          </w:tcPr>
          <w:p w14:paraId="315D8498" w14:textId="77777777" w:rsidR="001F158F" w:rsidRPr="00270255" w:rsidRDefault="001F158F" w:rsidP="00822A18">
            <w:pPr>
              <w:snapToGrid w:val="0"/>
            </w:pPr>
            <w:r w:rsidRPr="00270255">
              <w:t>Forbeholdt Finanstilsynet</w:t>
            </w:r>
          </w:p>
          <w:p w14:paraId="6BB49761" w14:textId="77777777" w:rsidR="001F158F" w:rsidRPr="00270255" w:rsidRDefault="001F158F" w:rsidP="00822A1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14617B57" w14:textId="77777777" w:rsidR="00270255" w:rsidRDefault="00270255" w:rsidP="00083E63"/>
    <w:p w14:paraId="7AC5730C" w14:textId="77777777" w:rsidR="00270255" w:rsidRDefault="00270255">
      <w:r>
        <w:br w:type="page"/>
      </w:r>
    </w:p>
    <w:p w14:paraId="03DB8747" w14:textId="77777777" w:rsidR="007E6E09" w:rsidRDefault="007E6E09" w:rsidP="00083E63"/>
    <w:p w14:paraId="17E16245" w14:textId="77777777" w:rsidR="00270255" w:rsidRDefault="00270255"/>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270255" w:rsidRPr="00270255" w14:paraId="1D390EF3" w14:textId="77777777" w:rsidTr="009C4E7B">
        <w:tc>
          <w:tcPr>
            <w:tcW w:w="13609" w:type="dxa"/>
            <w:gridSpan w:val="4"/>
          </w:tcPr>
          <w:p w14:paraId="3C83C2BD" w14:textId="77777777" w:rsidR="00270255" w:rsidRPr="00270255" w:rsidRDefault="00270255" w:rsidP="009C4E7B">
            <w:pPr>
              <w:pStyle w:val="Overskrift1"/>
              <w:numPr>
                <w:ilvl w:val="0"/>
                <w:numId w:val="2"/>
              </w:numPr>
              <w:rPr>
                <w:rFonts w:cs="Times New Roman"/>
                <w:szCs w:val="24"/>
              </w:rPr>
            </w:pPr>
            <w:r w:rsidRPr="00270255">
              <w:rPr>
                <w:rFonts w:cs="Times New Roman"/>
                <w:szCs w:val="24"/>
              </w:rPr>
              <w:br w:type="page"/>
              <w:t>Fradrag i hybride kernekapitalposter</w:t>
            </w:r>
          </w:p>
          <w:p w14:paraId="25D2A60D" w14:textId="77777777" w:rsidR="00270255" w:rsidRPr="00270255" w:rsidRDefault="00270255" w:rsidP="009C4E7B"/>
        </w:tc>
      </w:tr>
      <w:tr w:rsidR="00270255" w:rsidRPr="00270255" w14:paraId="692ED665" w14:textId="77777777" w:rsidTr="009C4E7B">
        <w:tc>
          <w:tcPr>
            <w:tcW w:w="13609" w:type="dxa"/>
            <w:gridSpan w:val="4"/>
          </w:tcPr>
          <w:p w14:paraId="30FF4C08" w14:textId="77777777" w:rsidR="00DB0A06" w:rsidRDefault="00DB0A06" w:rsidP="009C4E7B">
            <w:pPr>
              <w:snapToGrid w:val="0"/>
            </w:pPr>
          </w:p>
          <w:p w14:paraId="4D149AE2" w14:textId="77777777" w:rsidR="00270255" w:rsidRPr="00270255" w:rsidRDefault="00270255" w:rsidP="009C4E7B">
            <w:pPr>
              <w:snapToGrid w:val="0"/>
            </w:pPr>
            <w:r w:rsidRPr="00270255">
              <w:t>CRR, artikel 56 lister en række fradrag, som institutterne skal foretage i hybrid kernekapital.</w:t>
            </w:r>
          </w:p>
          <w:p w14:paraId="2A86B0FC" w14:textId="77777777" w:rsidR="00270255" w:rsidRDefault="00270255" w:rsidP="009C4E7B">
            <w:pPr>
              <w:snapToGrid w:val="0"/>
            </w:pPr>
          </w:p>
          <w:p w14:paraId="0C408812" w14:textId="77777777" w:rsidR="00C453BD" w:rsidRDefault="00C453BD" w:rsidP="009C4E7B">
            <w:pPr>
              <w:snapToGrid w:val="0"/>
            </w:pPr>
            <w:r w:rsidRPr="00270255">
              <w:t xml:space="preserve">Reglerne for fradrag er yderligere præciseret i </w:t>
            </w:r>
            <w:r>
              <w:t xml:space="preserve">CRR, artikel 57-60 samt i </w:t>
            </w:r>
            <w:r w:rsidRPr="00270255">
              <w:t xml:space="preserve">forordningen (EU) nr. 241/2014 af 7. januar 2014 om kapitalgrundlagskrav, artikel </w:t>
            </w:r>
            <w:r>
              <w:t>16</w:t>
            </w:r>
            <w:r w:rsidRPr="00270255">
              <w:t>.</w:t>
            </w:r>
          </w:p>
          <w:p w14:paraId="22B0C9D2" w14:textId="77777777" w:rsidR="00C453BD" w:rsidRPr="00270255" w:rsidRDefault="00C453BD" w:rsidP="009C4E7B">
            <w:pPr>
              <w:snapToGrid w:val="0"/>
            </w:pPr>
          </w:p>
          <w:p w14:paraId="733B485D" w14:textId="77777777" w:rsidR="00270255" w:rsidRPr="00270255" w:rsidRDefault="00270255" w:rsidP="009C4E7B">
            <w:pPr>
              <w:snapToGrid w:val="0"/>
            </w:pPr>
            <w:r w:rsidRPr="00270255">
              <w:t>Nedenfor bedes instituttet angive, hvorvidt instituttet har fradrag af de respektive poster. Hvor fradragene ikke er relevante for instituttet bedes dette anført.</w:t>
            </w:r>
          </w:p>
          <w:p w14:paraId="44541823" w14:textId="77777777" w:rsidR="00270255" w:rsidRPr="00270255" w:rsidRDefault="00270255" w:rsidP="009C4E7B">
            <w:pPr>
              <w:snapToGrid w:val="0"/>
            </w:pPr>
          </w:p>
        </w:tc>
      </w:tr>
      <w:tr w:rsidR="00270255" w:rsidRPr="00270255" w14:paraId="2AF088C0" w14:textId="77777777" w:rsidTr="009C4E7B">
        <w:tc>
          <w:tcPr>
            <w:tcW w:w="3544" w:type="dxa"/>
          </w:tcPr>
          <w:p w14:paraId="44E3DF2C" w14:textId="77777777" w:rsidR="00270255" w:rsidRPr="00270255" w:rsidRDefault="00270255" w:rsidP="009C4E7B">
            <w:pPr>
              <w:rPr>
                <w:b/>
                <w:u w:val="single"/>
              </w:rPr>
            </w:pPr>
            <w:r w:rsidRPr="00270255">
              <w:rPr>
                <w:b/>
                <w:u w:val="single"/>
              </w:rPr>
              <w:t xml:space="preserve">Spørgsmål </w:t>
            </w:r>
            <w:r w:rsidR="00B54D5C">
              <w:rPr>
                <w:b/>
                <w:u w:val="single"/>
              </w:rPr>
              <w:t>8</w:t>
            </w:r>
            <w:r w:rsidRPr="00270255">
              <w:rPr>
                <w:b/>
                <w:u w:val="single"/>
              </w:rPr>
              <w:t>.1:</w:t>
            </w:r>
          </w:p>
          <w:p w14:paraId="74F565D6" w14:textId="77777777" w:rsidR="00270255" w:rsidRPr="00270255" w:rsidRDefault="00270255" w:rsidP="009C4E7B">
            <w:r w:rsidRPr="00270255">
              <w:t xml:space="preserve">Art. 56, stk. 1, litra a - Et instituts direkte, indirekte og syntetiske besiddelser af </w:t>
            </w:r>
            <w:r w:rsidRPr="00270255">
              <w:rPr>
                <w:i/>
              </w:rPr>
              <w:t>egne</w:t>
            </w:r>
            <w:r w:rsidRPr="00270255">
              <w:t xml:space="preserve"> hybride kernekapitalinstrumenter, herunder af egne egentlige kernekapitalinstrumenter, som et institut er forpligtet til at købe</w:t>
            </w:r>
            <w:r w:rsidR="00AB2B16">
              <w:t>?</w:t>
            </w:r>
          </w:p>
          <w:p w14:paraId="0550AE31" w14:textId="77777777" w:rsidR="00270255" w:rsidRPr="00270255" w:rsidRDefault="00270255" w:rsidP="009C4E7B"/>
        </w:tc>
        <w:tc>
          <w:tcPr>
            <w:tcW w:w="851" w:type="dxa"/>
          </w:tcPr>
          <w:p w14:paraId="03375390" w14:textId="77777777" w:rsidR="00270255" w:rsidRPr="00270255" w:rsidRDefault="00270255" w:rsidP="009C4E7B">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C8D72E8" w14:textId="77777777" w:rsidR="00270255" w:rsidRPr="00270255" w:rsidRDefault="00270255" w:rsidP="009C4E7B"/>
        </w:tc>
        <w:tc>
          <w:tcPr>
            <w:tcW w:w="6946" w:type="dxa"/>
          </w:tcPr>
          <w:p w14:paraId="597E25F1" w14:textId="77777777" w:rsidR="00270255" w:rsidRPr="00270255" w:rsidRDefault="00270255" w:rsidP="009C4E7B">
            <w:pPr>
              <w:snapToGrid w:val="0"/>
            </w:pPr>
            <w:r w:rsidRPr="00270255">
              <w:t>Redegørelse</w:t>
            </w:r>
          </w:p>
          <w:p w14:paraId="57828277"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44D3E8FF" w14:textId="77777777" w:rsidR="00270255" w:rsidRPr="00270255" w:rsidRDefault="00270255" w:rsidP="009C4E7B">
            <w:pPr>
              <w:snapToGrid w:val="0"/>
            </w:pPr>
          </w:p>
        </w:tc>
        <w:tc>
          <w:tcPr>
            <w:tcW w:w="2268" w:type="dxa"/>
          </w:tcPr>
          <w:p w14:paraId="109E4958" w14:textId="77777777" w:rsidR="00270255" w:rsidRPr="00270255" w:rsidRDefault="00270255" w:rsidP="009C4E7B">
            <w:pPr>
              <w:snapToGrid w:val="0"/>
            </w:pPr>
            <w:r w:rsidRPr="00270255">
              <w:t>Forbeholdt Finanstilsynet</w:t>
            </w:r>
          </w:p>
          <w:p w14:paraId="23706C1E"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270255" w:rsidRPr="00270255" w14:paraId="1E8EA771" w14:textId="77777777" w:rsidTr="009C4E7B">
        <w:tc>
          <w:tcPr>
            <w:tcW w:w="3544" w:type="dxa"/>
          </w:tcPr>
          <w:p w14:paraId="68BAFD06" w14:textId="77777777" w:rsidR="00270255" w:rsidRPr="00270255" w:rsidRDefault="00270255" w:rsidP="009C4E7B">
            <w:pPr>
              <w:rPr>
                <w:b/>
                <w:u w:val="single"/>
              </w:rPr>
            </w:pPr>
            <w:r w:rsidRPr="00270255">
              <w:rPr>
                <w:b/>
                <w:u w:val="single"/>
              </w:rPr>
              <w:t xml:space="preserve">Spørgsmål </w:t>
            </w:r>
            <w:r w:rsidR="00B54D5C">
              <w:rPr>
                <w:b/>
                <w:u w:val="single"/>
              </w:rPr>
              <w:t>8</w:t>
            </w:r>
            <w:r w:rsidRPr="00270255">
              <w:rPr>
                <w:b/>
                <w:u w:val="single"/>
              </w:rPr>
              <w:t>.2:</w:t>
            </w:r>
          </w:p>
          <w:p w14:paraId="6889AFC3" w14:textId="77777777" w:rsidR="00270255" w:rsidRDefault="00270255" w:rsidP="00891E98">
            <w:r w:rsidRPr="00270255">
              <w:t>Art. 56, stk. 1, litra b -</w:t>
            </w:r>
            <w:r w:rsidR="006F2554">
              <w:t xml:space="preserve"> Direkte, indirekte og syntetiske besiddelser af hybrid kernekapitalinstrumenter i enheder i den finansielle sektor. Er der besiddelser i krydsejerskab</w:t>
            </w:r>
            <w:r w:rsidR="00891E98">
              <w:t xml:space="preserve">, der er </w:t>
            </w:r>
            <w:r w:rsidR="006F2554">
              <w:t>indgået for kunstigt at øge instituttets kapitalgrundlag? I bekræftende fald hvilke?</w:t>
            </w:r>
          </w:p>
          <w:p w14:paraId="0528AADA" w14:textId="77777777" w:rsidR="000F1D6F" w:rsidRDefault="000F1D6F" w:rsidP="00891E98"/>
          <w:p w14:paraId="042F2CF7" w14:textId="77777777" w:rsidR="000F1D6F" w:rsidRPr="00270255" w:rsidRDefault="000F1D6F" w:rsidP="00891E98"/>
        </w:tc>
        <w:tc>
          <w:tcPr>
            <w:tcW w:w="851" w:type="dxa"/>
          </w:tcPr>
          <w:p w14:paraId="20DCA2F3" w14:textId="77777777" w:rsidR="00270255" w:rsidRPr="00270255" w:rsidRDefault="00270255" w:rsidP="009C4E7B">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4B6405FD" w14:textId="77777777" w:rsidR="00270255" w:rsidRPr="00270255" w:rsidRDefault="00270255" w:rsidP="009C4E7B"/>
        </w:tc>
        <w:tc>
          <w:tcPr>
            <w:tcW w:w="6946" w:type="dxa"/>
          </w:tcPr>
          <w:p w14:paraId="5746A036" w14:textId="77777777" w:rsidR="00270255" w:rsidRPr="00270255" w:rsidRDefault="00270255" w:rsidP="009C4E7B">
            <w:pPr>
              <w:snapToGrid w:val="0"/>
            </w:pPr>
            <w:r w:rsidRPr="00270255">
              <w:t>Redegørelse</w:t>
            </w:r>
          </w:p>
          <w:p w14:paraId="4B7D27A2"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1B6660E6" w14:textId="77777777" w:rsidR="00270255" w:rsidRPr="00270255" w:rsidRDefault="00270255" w:rsidP="009C4E7B">
            <w:pPr>
              <w:snapToGrid w:val="0"/>
            </w:pPr>
          </w:p>
        </w:tc>
        <w:tc>
          <w:tcPr>
            <w:tcW w:w="2268" w:type="dxa"/>
          </w:tcPr>
          <w:p w14:paraId="41A01260" w14:textId="77777777" w:rsidR="00270255" w:rsidRPr="00270255" w:rsidRDefault="00270255" w:rsidP="009C4E7B">
            <w:pPr>
              <w:snapToGrid w:val="0"/>
            </w:pPr>
            <w:r w:rsidRPr="00270255">
              <w:t>Forbeholdt Finanstilsynet</w:t>
            </w:r>
          </w:p>
          <w:p w14:paraId="34EDB6E8"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270255" w:rsidRPr="00270255" w14:paraId="0746967E" w14:textId="77777777" w:rsidTr="009C4E7B">
        <w:tc>
          <w:tcPr>
            <w:tcW w:w="3544" w:type="dxa"/>
          </w:tcPr>
          <w:p w14:paraId="61BA66A0" w14:textId="77777777" w:rsidR="00270255" w:rsidRPr="00270255" w:rsidRDefault="00270255" w:rsidP="009C4E7B">
            <w:pPr>
              <w:rPr>
                <w:b/>
                <w:u w:val="single"/>
              </w:rPr>
            </w:pPr>
            <w:r w:rsidRPr="00270255">
              <w:rPr>
                <w:b/>
                <w:u w:val="single"/>
              </w:rPr>
              <w:lastRenderedPageBreak/>
              <w:t xml:space="preserve">Spørgsmål </w:t>
            </w:r>
            <w:r w:rsidR="00B54D5C">
              <w:rPr>
                <w:b/>
                <w:u w:val="single"/>
              </w:rPr>
              <w:t>8</w:t>
            </w:r>
            <w:r w:rsidRPr="00270255">
              <w:rPr>
                <w:b/>
                <w:u w:val="single"/>
              </w:rPr>
              <w:t>.3:</w:t>
            </w:r>
          </w:p>
          <w:p w14:paraId="46FFFA64" w14:textId="77777777" w:rsidR="00270255" w:rsidRDefault="00270255" w:rsidP="009C4E7B">
            <w:r w:rsidRPr="00270255">
              <w:t xml:space="preserve">Art. 56, stk. 1, litra c - Instituttets relevante direkte, indirekte og syntetiske besiddelser af hybride kernekapitalinstrumenter i enheder i den finansielle sektor, når instituttet </w:t>
            </w:r>
            <w:r w:rsidRPr="00270255">
              <w:rPr>
                <w:i/>
              </w:rPr>
              <w:t>ikke har væsentlige</w:t>
            </w:r>
            <w:r w:rsidRPr="00270255">
              <w:t xml:space="preserve"> investeringer i disse enheder</w:t>
            </w:r>
            <w:r w:rsidR="00AB2B16">
              <w:t>?</w:t>
            </w:r>
          </w:p>
          <w:p w14:paraId="6535A83D" w14:textId="77777777" w:rsidR="00DB0A06" w:rsidRPr="00270255" w:rsidRDefault="00DB0A06" w:rsidP="009C4E7B"/>
          <w:p w14:paraId="56842B2A" w14:textId="77777777" w:rsidR="00270255" w:rsidRDefault="00270255" w:rsidP="009C4E7B"/>
          <w:p w14:paraId="2778BF87" w14:textId="77777777" w:rsidR="00C66B65" w:rsidRDefault="00C66B65" w:rsidP="009C4E7B"/>
          <w:p w14:paraId="5E586CA4" w14:textId="77777777" w:rsidR="00DB0A06" w:rsidRPr="00270255" w:rsidRDefault="00DB0A06" w:rsidP="009C4E7B"/>
        </w:tc>
        <w:tc>
          <w:tcPr>
            <w:tcW w:w="851" w:type="dxa"/>
          </w:tcPr>
          <w:p w14:paraId="014CBE2D" w14:textId="77777777" w:rsidR="00270255" w:rsidRPr="00270255" w:rsidRDefault="00270255" w:rsidP="009C4E7B">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8287BB7" w14:textId="77777777" w:rsidR="00270255" w:rsidRPr="00270255" w:rsidRDefault="00270255" w:rsidP="009C4E7B"/>
        </w:tc>
        <w:tc>
          <w:tcPr>
            <w:tcW w:w="6946" w:type="dxa"/>
          </w:tcPr>
          <w:p w14:paraId="441F249A" w14:textId="77777777" w:rsidR="00270255" w:rsidRPr="00270255" w:rsidRDefault="00270255" w:rsidP="009C4E7B">
            <w:pPr>
              <w:snapToGrid w:val="0"/>
            </w:pPr>
            <w:r w:rsidRPr="00270255">
              <w:t>Redegørelse</w:t>
            </w:r>
          </w:p>
          <w:p w14:paraId="79CBF664"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0B8615A" w14:textId="77777777" w:rsidR="00270255" w:rsidRPr="00270255" w:rsidRDefault="00270255" w:rsidP="009C4E7B">
            <w:pPr>
              <w:snapToGrid w:val="0"/>
            </w:pPr>
          </w:p>
        </w:tc>
        <w:tc>
          <w:tcPr>
            <w:tcW w:w="2268" w:type="dxa"/>
          </w:tcPr>
          <w:p w14:paraId="5C7B7975" w14:textId="77777777" w:rsidR="00270255" w:rsidRPr="00270255" w:rsidRDefault="00270255" w:rsidP="009C4E7B">
            <w:pPr>
              <w:snapToGrid w:val="0"/>
            </w:pPr>
            <w:r w:rsidRPr="00270255">
              <w:t>Forbeholdt Finanstilsynet</w:t>
            </w:r>
          </w:p>
          <w:p w14:paraId="07EF6D73"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270255" w:rsidRPr="00270255" w14:paraId="2734AB21" w14:textId="77777777" w:rsidTr="009C4E7B">
        <w:tc>
          <w:tcPr>
            <w:tcW w:w="3544" w:type="dxa"/>
          </w:tcPr>
          <w:p w14:paraId="3A081EB7" w14:textId="77777777" w:rsidR="00270255" w:rsidRPr="00270255" w:rsidRDefault="00270255" w:rsidP="009C4E7B">
            <w:pPr>
              <w:rPr>
                <w:b/>
                <w:u w:val="single"/>
              </w:rPr>
            </w:pPr>
            <w:r w:rsidRPr="00270255">
              <w:rPr>
                <w:b/>
                <w:u w:val="single"/>
              </w:rPr>
              <w:t xml:space="preserve">Spørgsmål </w:t>
            </w:r>
            <w:r w:rsidR="00B54D5C">
              <w:rPr>
                <w:b/>
                <w:u w:val="single"/>
              </w:rPr>
              <w:t>8</w:t>
            </w:r>
            <w:r w:rsidRPr="00270255">
              <w:rPr>
                <w:b/>
                <w:u w:val="single"/>
              </w:rPr>
              <w:t>.4:</w:t>
            </w:r>
          </w:p>
          <w:p w14:paraId="648F1C22" w14:textId="77777777" w:rsidR="00270255" w:rsidRDefault="00270255" w:rsidP="009C4E7B">
            <w:r w:rsidRPr="00270255">
              <w:t xml:space="preserve">Art. 56, stk. 1, litra d - Instituttets relevante direkte, indirekte og syntetiske besiddelser af hybride kernekapitalinstrumenter i enheder i den finansielle sektor, når instituttet </w:t>
            </w:r>
            <w:r w:rsidRPr="00270255">
              <w:rPr>
                <w:i/>
              </w:rPr>
              <w:t>har væsentlige</w:t>
            </w:r>
            <w:r w:rsidRPr="00270255">
              <w:t xml:space="preserve"> investeringer i disse enheder</w:t>
            </w:r>
            <w:r w:rsidR="00AB2B16">
              <w:t>?</w:t>
            </w:r>
          </w:p>
          <w:p w14:paraId="61373365" w14:textId="77777777" w:rsidR="00DB0A06" w:rsidRDefault="00DB0A06" w:rsidP="009C4E7B"/>
          <w:p w14:paraId="1DBB8AE0" w14:textId="77777777" w:rsidR="00DB0A06" w:rsidRPr="00270255" w:rsidRDefault="00DB0A06" w:rsidP="009C4E7B"/>
          <w:p w14:paraId="3ECB7D68" w14:textId="77777777" w:rsidR="00270255" w:rsidRDefault="00270255" w:rsidP="009C4E7B"/>
          <w:p w14:paraId="1F96C3F1" w14:textId="77777777" w:rsidR="00C66B65" w:rsidRPr="00270255" w:rsidRDefault="00C66B65" w:rsidP="009C4E7B"/>
        </w:tc>
        <w:tc>
          <w:tcPr>
            <w:tcW w:w="851" w:type="dxa"/>
          </w:tcPr>
          <w:p w14:paraId="75E7C120" w14:textId="77777777" w:rsidR="00270255" w:rsidRPr="00270255" w:rsidRDefault="00270255" w:rsidP="009C4E7B">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56E8DAE4" w14:textId="77777777" w:rsidR="00270255" w:rsidRPr="00270255" w:rsidRDefault="00270255" w:rsidP="009C4E7B"/>
        </w:tc>
        <w:tc>
          <w:tcPr>
            <w:tcW w:w="6946" w:type="dxa"/>
          </w:tcPr>
          <w:p w14:paraId="3E2236D1" w14:textId="77777777" w:rsidR="00270255" w:rsidRPr="00270255" w:rsidRDefault="00270255" w:rsidP="009C4E7B">
            <w:pPr>
              <w:snapToGrid w:val="0"/>
            </w:pPr>
            <w:r w:rsidRPr="00270255">
              <w:t>Redegørelse</w:t>
            </w:r>
          </w:p>
          <w:p w14:paraId="419DCF89"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E2F8BEA" w14:textId="77777777" w:rsidR="00270255" w:rsidRPr="00270255" w:rsidRDefault="00270255" w:rsidP="009C4E7B">
            <w:pPr>
              <w:snapToGrid w:val="0"/>
            </w:pPr>
          </w:p>
        </w:tc>
        <w:tc>
          <w:tcPr>
            <w:tcW w:w="2268" w:type="dxa"/>
          </w:tcPr>
          <w:p w14:paraId="61178558" w14:textId="77777777" w:rsidR="00270255" w:rsidRPr="00270255" w:rsidRDefault="00270255" w:rsidP="009C4E7B">
            <w:pPr>
              <w:snapToGrid w:val="0"/>
            </w:pPr>
            <w:r w:rsidRPr="00270255">
              <w:t>Forbeholdt Finanstilsynet</w:t>
            </w:r>
          </w:p>
          <w:p w14:paraId="5E636C0A"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270255" w:rsidRPr="00270255" w14:paraId="0D32C891" w14:textId="77777777" w:rsidTr="009C4E7B">
        <w:tc>
          <w:tcPr>
            <w:tcW w:w="3544" w:type="dxa"/>
          </w:tcPr>
          <w:p w14:paraId="2A95CF41" w14:textId="77777777" w:rsidR="00270255" w:rsidRPr="00270255" w:rsidRDefault="00270255" w:rsidP="009C4E7B">
            <w:pPr>
              <w:rPr>
                <w:b/>
                <w:u w:val="single"/>
              </w:rPr>
            </w:pPr>
            <w:r w:rsidRPr="00270255">
              <w:rPr>
                <w:b/>
                <w:u w:val="single"/>
              </w:rPr>
              <w:t xml:space="preserve">Spørgsmål </w:t>
            </w:r>
            <w:r w:rsidR="00B54D5C">
              <w:rPr>
                <w:b/>
                <w:u w:val="single"/>
              </w:rPr>
              <w:t>8</w:t>
            </w:r>
            <w:r w:rsidRPr="00270255">
              <w:rPr>
                <w:b/>
                <w:u w:val="single"/>
              </w:rPr>
              <w:t>.5:</w:t>
            </w:r>
          </w:p>
          <w:p w14:paraId="503CC847" w14:textId="77777777" w:rsidR="00270255" w:rsidRPr="00270255" w:rsidRDefault="00270255" w:rsidP="009C4E7B">
            <w:pPr>
              <w:pStyle w:val="Brdtekst"/>
              <w:rPr>
                <w:rFonts w:ascii="Times New Roman" w:hAnsi="Times New Roman"/>
                <w:sz w:val="24"/>
                <w:szCs w:val="24"/>
              </w:rPr>
            </w:pPr>
            <w:r w:rsidRPr="00270255">
              <w:rPr>
                <w:rFonts w:ascii="Times New Roman" w:hAnsi="Times New Roman"/>
                <w:sz w:val="24"/>
                <w:szCs w:val="24"/>
              </w:rPr>
              <w:t>Art. 56, stk. 1, litra e - De poster, som i henhold til artikel 63 skal fradrages i de supplerende kapitalposter, der overstiger instituttets supplerende kapital</w:t>
            </w:r>
            <w:r w:rsidR="00AB2B16">
              <w:rPr>
                <w:rFonts w:ascii="Times New Roman" w:hAnsi="Times New Roman"/>
                <w:sz w:val="24"/>
                <w:szCs w:val="24"/>
              </w:rPr>
              <w:t>?</w:t>
            </w:r>
          </w:p>
          <w:p w14:paraId="46DC3990" w14:textId="77777777" w:rsidR="00270255" w:rsidRDefault="00270255" w:rsidP="009C4E7B">
            <w:pPr>
              <w:pStyle w:val="Brdtekst"/>
              <w:rPr>
                <w:rFonts w:ascii="Times New Roman" w:hAnsi="Times New Roman"/>
                <w:sz w:val="24"/>
                <w:szCs w:val="24"/>
              </w:rPr>
            </w:pPr>
          </w:p>
          <w:p w14:paraId="09992720" w14:textId="77777777" w:rsidR="00DB0A06" w:rsidRDefault="00DB0A06" w:rsidP="009C4E7B">
            <w:pPr>
              <w:pStyle w:val="Brdtekst"/>
              <w:rPr>
                <w:rFonts w:ascii="Times New Roman" w:hAnsi="Times New Roman"/>
                <w:sz w:val="24"/>
                <w:szCs w:val="24"/>
              </w:rPr>
            </w:pPr>
          </w:p>
          <w:p w14:paraId="537EB9FC" w14:textId="77777777" w:rsidR="00DB0A06" w:rsidRDefault="00DB0A06" w:rsidP="009C4E7B">
            <w:pPr>
              <w:pStyle w:val="Brdtekst"/>
              <w:rPr>
                <w:rFonts w:ascii="Times New Roman" w:hAnsi="Times New Roman"/>
                <w:sz w:val="24"/>
                <w:szCs w:val="24"/>
              </w:rPr>
            </w:pPr>
          </w:p>
          <w:p w14:paraId="3FB1DDB3" w14:textId="77777777" w:rsidR="00DB0A06" w:rsidRPr="00270255" w:rsidRDefault="00DB0A06" w:rsidP="009C4E7B">
            <w:pPr>
              <w:pStyle w:val="Brdtekst"/>
              <w:rPr>
                <w:rFonts w:ascii="Times New Roman" w:hAnsi="Times New Roman"/>
                <w:sz w:val="24"/>
                <w:szCs w:val="24"/>
              </w:rPr>
            </w:pPr>
          </w:p>
        </w:tc>
        <w:tc>
          <w:tcPr>
            <w:tcW w:w="851" w:type="dxa"/>
          </w:tcPr>
          <w:p w14:paraId="2592FE1C" w14:textId="77777777" w:rsidR="00270255" w:rsidRPr="00270255" w:rsidRDefault="00270255" w:rsidP="009C4E7B">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132B4919" w14:textId="77777777" w:rsidR="00270255" w:rsidRPr="00270255" w:rsidRDefault="00270255" w:rsidP="009C4E7B"/>
        </w:tc>
        <w:tc>
          <w:tcPr>
            <w:tcW w:w="6946" w:type="dxa"/>
          </w:tcPr>
          <w:p w14:paraId="7E9FFE26" w14:textId="77777777" w:rsidR="00270255" w:rsidRPr="00270255" w:rsidRDefault="00270255" w:rsidP="009C4E7B">
            <w:pPr>
              <w:snapToGrid w:val="0"/>
            </w:pPr>
            <w:r w:rsidRPr="00270255">
              <w:t>Redegørelse</w:t>
            </w:r>
          </w:p>
          <w:p w14:paraId="5AE5EF3D"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4217E5AE" w14:textId="77777777" w:rsidR="00270255" w:rsidRPr="00270255" w:rsidRDefault="00270255" w:rsidP="009C4E7B">
            <w:pPr>
              <w:snapToGrid w:val="0"/>
            </w:pPr>
          </w:p>
        </w:tc>
        <w:tc>
          <w:tcPr>
            <w:tcW w:w="2268" w:type="dxa"/>
          </w:tcPr>
          <w:p w14:paraId="29D31AFB" w14:textId="77777777" w:rsidR="00270255" w:rsidRPr="00270255" w:rsidRDefault="00270255" w:rsidP="009C4E7B">
            <w:pPr>
              <w:snapToGrid w:val="0"/>
            </w:pPr>
            <w:r w:rsidRPr="00270255">
              <w:t>Forbeholdt Finanstilsynet</w:t>
            </w:r>
          </w:p>
          <w:p w14:paraId="22BECFB3"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270255" w:rsidRPr="00270255" w14:paraId="19240E2B" w14:textId="77777777" w:rsidTr="009C4E7B">
        <w:tc>
          <w:tcPr>
            <w:tcW w:w="3544" w:type="dxa"/>
          </w:tcPr>
          <w:p w14:paraId="7045218A" w14:textId="77777777" w:rsidR="00270255" w:rsidRPr="00270255" w:rsidRDefault="00270255" w:rsidP="009C4E7B">
            <w:pPr>
              <w:rPr>
                <w:b/>
                <w:u w:val="single"/>
              </w:rPr>
            </w:pPr>
            <w:r w:rsidRPr="00270255">
              <w:rPr>
                <w:b/>
                <w:u w:val="single"/>
              </w:rPr>
              <w:lastRenderedPageBreak/>
              <w:t xml:space="preserve">Spørgsmål </w:t>
            </w:r>
            <w:r w:rsidR="00B54D5C">
              <w:rPr>
                <w:b/>
                <w:u w:val="single"/>
              </w:rPr>
              <w:t>8</w:t>
            </w:r>
            <w:r w:rsidRPr="00270255">
              <w:rPr>
                <w:b/>
                <w:u w:val="single"/>
              </w:rPr>
              <w:t>.6:</w:t>
            </w:r>
          </w:p>
          <w:p w14:paraId="2724942F" w14:textId="77777777" w:rsidR="00270255" w:rsidRDefault="00270255" w:rsidP="009C4E7B">
            <w:r w:rsidRPr="00270255">
              <w:t>Art. 56, stk. 1, litra f - Enhver form for skat vedrørende hybride kernekapitalposter, der kan forudses på beregningstidspunktet, undtagen når instituttet behørigt tilpasser værdien af de hybride kernekapitalposter, hvis skatten reducerer det beløb, hvormed disse poster kan anvendes til dækning af risici eller tab</w:t>
            </w:r>
            <w:r w:rsidR="00AB2B16">
              <w:t>?</w:t>
            </w:r>
          </w:p>
          <w:p w14:paraId="41559C07" w14:textId="77777777" w:rsidR="00AB2B16" w:rsidRDefault="00AB2B16" w:rsidP="009C4E7B"/>
          <w:p w14:paraId="0C4F80ED" w14:textId="77777777" w:rsidR="00AB2B16" w:rsidRPr="00AB2B16" w:rsidRDefault="00AB2B16" w:rsidP="00AB2B16">
            <w:r>
              <w:t xml:space="preserve">Der henvises i øvrigt til </w:t>
            </w:r>
            <w:r w:rsidRPr="00AB2B16">
              <w:t xml:space="preserve">Finanstilsynets </w:t>
            </w:r>
            <w:r w:rsidR="00A936F2">
              <w:t>meddelelse</w:t>
            </w:r>
            <w:r w:rsidRPr="00AB2B16">
              <w:t xml:space="preserve"> af 23. juni 2014</w:t>
            </w:r>
            <w:r>
              <w:t xml:space="preserve"> (</w:t>
            </w:r>
            <w:r w:rsidRPr="00AB2B16">
              <w:t>Vurdering af evt. fradrag for beskatning ved medregning af hybrid kernekapital</w:t>
            </w:r>
            <w:r>
              <w:t>)</w:t>
            </w:r>
            <w:r w:rsidRPr="00AB2B16">
              <w:t>.</w:t>
            </w:r>
          </w:p>
          <w:p w14:paraId="6111C968" w14:textId="77777777" w:rsidR="00270255" w:rsidRDefault="00AB2B16" w:rsidP="00AB2B16">
            <w:r w:rsidRPr="00AB2B16">
              <w:t xml:space="preserve"> </w:t>
            </w:r>
          </w:p>
          <w:p w14:paraId="0268754C" w14:textId="77777777" w:rsidR="00C66B65" w:rsidRDefault="00C66B65" w:rsidP="00AB2B16"/>
          <w:p w14:paraId="7C68A844" w14:textId="77777777" w:rsidR="00C66B65" w:rsidRPr="00270255" w:rsidRDefault="00C66B65" w:rsidP="00AB2B16"/>
        </w:tc>
        <w:tc>
          <w:tcPr>
            <w:tcW w:w="851" w:type="dxa"/>
          </w:tcPr>
          <w:p w14:paraId="560C39BB" w14:textId="77777777" w:rsidR="00270255" w:rsidRPr="00270255" w:rsidRDefault="00270255" w:rsidP="009C4E7B">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2E0FA39C" w14:textId="77777777" w:rsidR="00270255" w:rsidRPr="00270255" w:rsidRDefault="00270255" w:rsidP="009C4E7B"/>
        </w:tc>
        <w:tc>
          <w:tcPr>
            <w:tcW w:w="6946" w:type="dxa"/>
          </w:tcPr>
          <w:p w14:paraId="290467FF" w14:textId="77777777" w:rsidR="00270255" w:rsidRPr="00270255" w:rsidRDefault="00270255" w:rsidP="009C4E7B">
            <w:pPr>
              <w:snapToGrid w:val="0"/>
            </w:pPr>
            <w:r w:rsidRPr="00270255">
              <w:t>Redegørelse</w:t>
            </w:r>
          </w:p>
          <w:p w14:paraId="291670B0"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CEDDB9D" w14:textId="77777777" w:rsidR="00270255" w:rsidRPr="00270255" w:rsidRDefault="00270255" w:rsidP="009C4E7B">
            <w:pPr>
              <w:snapToGrid w:val="0"/>
            </w:pPr>
          </w:p>
        </w:tc>
        <w:tc>
          <w:tcPr>
            <w:tcW w:w="2268" w:type="dxa"/>
          </w:tcPr>
          <w:p w14:paraId="2C0F0169" w14:textId="77777777" w:rsidR="00270255" w:rsidRPr="00270255" w:rsidRDefault="00270255" w:rsidP="009C4E7B">
            <w:pPr>
              <w:snapToGrid w:val="0"/>
            </w:pPr>
            <w:r w:rsidRPr="00270255">
              <w:t>Forbeholdt Finanstilsynet</w:t>
            </w:r>
          </w:p>
          <w:p w14:paraId="56B5D7C9" w14:textId="77777777" w:rsidR="00270255" w:rsidRPr="00270255" w:rsidRDefault="00270255" w:rsidP="009C4E7B">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17403A6D" w14:textId="77777777" w:rsidR="007E6E09" w:rsidRDefault="007E6E09">
      <w:r>
        <w:br w:type="page"/>
      </w:r>
    </w:p>
    <w:p w14:paraId="160E20EC" w14:textId="77777777" w:rsidR="00B94953" w:rsidRDefault="00B94953" w:rsidP="00083E63"/>
    <w:p w14:paraId="3711AF7D" w14:textId="77777777" w:rsidR="00B94953" w:rsidRDefault="00B94953"/>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B94953" w:rsidRPr="00270255" w14:paraId="079EACFF" w14:textId="77777777" w:rsidTr="00822A18">
        <w:tc>
          <w:tcPr>
            <w:tcW w:w="13609" w:type="dxa"/>
            <w:gridSpan w:val="4"/>
          </w:tcPr>
          <w:p w14:paraId="3C861944" w14:textId="77777777" w:rsidR="00B94953" w:rsidRDefault="00B94953" w:rsidP="00A470FB">
            <w:pPr>
              <w:pStyle w:val="Overskrift1"/>
              <w:numPr>
                <w:ilvl w:val="0"/>
                <w:numId w:val="2"/>
              </w:numPr>
              <w:rPr>
                <w:rFonts w:cs="Times New Roman"/>
                <w:szCs w:val="24"/>
              </w:rPr>
            </w:pPr>
            <w:r w:rsidRPr="00270255">
              <w:rPr>
                <w:rFonts w:cs="Times New Roman"/>
                <w:szCs w:val="24"/>
              </w:rPr>
              <w:t>Supplerende kapitalinstrumenter</w:t>
            </w:r>
            <w:r w:rsidR="00F706E8">
              <w:rPr>
                <w:rFonts w:cs="Times New Roman"/>
                <w:szCs w:val="24"/>
              </w:rPr>
              <w:t xml:space="preserve"> (Hvis instituttet ikke har udstedt supplerende kapitalinstrumenter, kan besvarelse af afsnit 9 springes over)</w:t>
            </w:r>
          </w:p>
          <w:p w14:paraId="7F840AC9" w14:textId="77777777" w:rsidR="00DB0A06" w:rsidRPr="00DB0A06" w:rsidRDefault="00DB0A06" w:rsidP="00DB0A06"/>
        </w:tc>
      </w:tr>
      <w:tr w:rsidR="00B94953" w:rsidRPr="00270255" w14:paraId="5EB8A467" w14:textId="77777777" w:rsidTr="00822A18">
        <w:tc>
          <w:tcPr>
            <w:tcW w:w="13609" w:type="dxa"/>
            <w:gridSpan w:val="4"/>
          </w:tcPr>
          <w:p w14:paraId="6D5F5C5F" w14:textId="13019D11" w:rsidR="00B94953" w:rsidRPr="00270255" w:rsidRDefault="00B94953" w:rsidP="00822A18">
            <w:pPr>
              <w:pStyle w:val="Brdtekst"/>
              <w:rPr>
                <w:rFonts w:ascii="Times New Roman" w:hAnsi="Times New Roman"/>
                <w:sz w:val="24"/>
                <w:szCs w:val="24"/>
              </w:rPr>
            </w:pPr>
            <w:r w:rsidRPr="00270255">
              <w:rPr>
                <w:rFonts w:ascii="Times New Roman" w:hAnsi="Times New Roman"/>
                <w:sz w:val="24"/>
                <w:szCs w:val="24"/>
              </w:rPr>
              <w:t>Ifølge CRR, artikel 63, stk. 1, kvalificer</w:t>
            </w:r>
            <w:r w:rsidR="00BF01CA">
              <w:rPr>
                <w:rFonts w:ascii="Times New Roman" w:hAnsi="Times New Roman"/>
                <w:sz w:val="24"/>
                <w:szCs w:val="24"/>
              </w:rPr>
              <w:t>er</w:t>
            </w:r>
            <w:r w:rsidRPr="00270255">
              <w:rPr>
                <w:rFonts w:ascii="Times New Roman" w:hAnsi="Times New Roman"/>
                <w:sz w:val="24"/>
                <w:szCs w:val="24"/>
              </w:rPr>
              <w:t xml:space="preserve"> kapitalinstrument</w:t>
            </w:r>
            <w:r w:rsidR="00BF01CA">
              <w:rPr>
                <w:rFonts w:ascii="Times New Roman" w:hAnsi="Times New Roman"/>
                <w:sz w:val="24"/>
                <w:szCs w:val="24"/>
              </w:rPr>
              <w:t>e</w:t>
            </w:r>
            <w:r w:rsidRPr="00270255">
              <w:rPr>
                <w:rFonts w:ascii="Times New Roman" w:hAnsi="Times New Roman"/>
                <w:sz w:val="24"/>
                <w:szCs w:val="24"/>
              </w:rPr>
              <w:t>r</w:t>
            </w:r>
            <w:r w:rsidR="00CA31CD">
              <w:rPr>
                <w:rFonts w:ascii="Times New Roman" w:hAnsi="Times New Roman"/>
                <w:sz w:val="24"/>
                <w:szCs w:val="24"/>
              </w:rPr>
              <w:t>ne</w:t>
            </w:r>
            <w:r w:rsidRPr="00270255">
              <w:rPr>
                <w:rFonts w:ascii="Times New Roman" w:hAnsi="Times New Roman"/>
                <w:sz w:val="24"/>
                <w:szCs w:val="24"/>
              </w:rPr>
              <w:t xml:space="preserve"> som </w:t>
            </w:r>
            <w:r w:rsidR="00370D4A" w:rsidRPr="00270255">
              <w:rPr>
                <w:rFonts w:ascii="Times New Roman" w:hAnsi="Times New Roman"/>
                <w:sz w:val="24"/>
                <w:szCs w:val="24"/>
              </w:rPr>
              <w:t>supplerende</w:t>
            </w:r>
            <w:r w:rsidRPr="00270255">
              <w:rPr>
                <w:rFonts w:ascii="Times New Roman" w:hAnsi="Times New Roman"/>
                <w:sz w:val="24"/>
                <w:szCs w:val="24"/>
              </w:rPr>
              <w:t xml:space="preserve"> kapitalinstrumenter, </w:t>
            </w:r>
            <w:r w:rsidR="00CA31CD">
              <w:rPr>
                <w:rFonts w:ascii="Times New Roman" w:hAnsi="Times New Roman"/>
                <w:sz w:val="24"/>
                <w:szCs w:val="24"/>
              </w:rPr>
              <w:t>hvis</w:t>
            </w:r>
            <w:r w:rsidR="00BF01CA">
              <w:rPr>
                <w:rFonts w:ascii="Times New Roman" w:hAnsi="Times New Roman"/>
                <w:sz w:val="24"/>
                <w:szCs w:val="24"/>
              </w:rPr>
              <w:t xml:space="preserve"> </w:t>
            </w:r>
            <w:r w:rsidR="00CA31CD">
              <w:rPr>
                <w:rFonts w:ascii="Times New Roman" w:hAnsi="Times New Roman"/>
                <w:sz w:val="24"/>
                <w:szCs w:val="24"/>
              </w:rPr>
              <w:t>følgende</w:t>
            </w:r>
            <w:r w:rsidRPr="00270255">
              <w:rPr>
                <w:rFonts w:ascii="Times New Roman" w:hAnsi="Times New Roman"/>
                <w:sz w:val="24"/>
                <w:szCs w:val="24"/>
              </w:rPr>
              <w:t xml:space="preserve"> betingelser er opfyldt</w:t>
            </w:r>
            <w:r w:rsidR="00BF01CA">
              <w:rPr>
                <w:rFonts w:ascii="Times New Roman" w:hAnsi="Times New Roman"/>
                <w:sz w:val="24"/>
                <w:szCs w:val="24"/>
              </w:rPr>
              <w:t>:</w:t>
            </w:r>
          </w:p>
          <w:p w14:paraId="7E678904" w14:textId="77777777" w:rsidR="00B94953" w:rsidRPr="00270255" w:rsidRDefault="00B94953" w:rsidP="00822A18">
            <w:pPr>
              <w:pStyle w:val="Brdtekst"/>
              <w:rPr>
                <w:rFonts w:ascii="Times New Roman" w:hAnsi="Times New Roman"/>
                <w:sz w:val="24"/>
                <w:szCs w:val="24"/>
              </w:rPr>
            </w:pPr>
          </w:p>
          <w:p w14:paraId="65005CDB" w14:textId="3FF35876"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 xml:space="preserve">Instrumenterne er udstedt </w:t>
            </w:r>
            <w:r w:rsidR="00CA31CD">
              <w:rPr>
                <w:rFonts w:ascii="Times New Roman" w:hAnsi="Times New Roman"/>
                <w:sz w:val="24"/>
                <w:szCs w:val="24"/>
              </w:rPr>
              <w:t>direkte af et institut</w:t>
            </w:r>
            <w:r w:rsidRPr="00270255">
              <w:rPr>
                <w:rFonts w:ascii="Times New Roman" w:hAnsi="Times New Roman"/>
                <w:sz w:val="24"/>
                <w:szCs w:val="24"/>
              </w:rPr>
              <w:t xml:space="preserve"> og fuldt betalt. </w:t>
            </w:r>
          </w:p>
          <w:p w14:paraId="59F727E1" w14:textId="041E29EE"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 xml:space="preserve">Ingen af følgende </w:t>
            </w:r>
            <w:r w:rsidR="00CA31CD">
              <w:rPr>
                <w:rFonts w:ascii="Times New Roman" w:hAnsi="Times New Roman"/>
                <w:sz w:val="24"/>
                <w:szCs w:val="24"/>
              </w:rPr>
              <w:t>ejer</w:t>
            </w:r>
            <w:r w:rsidRPr="00270255">
              <w:rPr>
                <w:rFonts w:ascii="Times New Roman" w:hAnsi="Times New Roman"/>
                <w:sz w:val="24"/>
                <w:szCs w:val="24"/>
              </w:rPr>
              <w:t xml:space="preserve"> instrumenterne: </w:t>
            </w:r>
          </w:p>
          <w:p w14:paraId="79C1D946" w14:textId="77777777" w:rsidR="00D435AC" w:rsidRPr="00270255" w:rsidRDefault="00D435AC" w:rsidP="00200B89">
            <w:pPr>
              <w:pStyle w:val="Brdtekst"/>
              <w:numPr>
                <w:ilvl w:val="0"/>
                <w:numId w:val="23"/>
              </w:numPr>
              <w:ind w:left="1452"/>
              <w:rPr>
                <w:rFonts w:ascii="Times New Roman" w:hAnsi="Times New Roman"/>
                <w:sz w:val="24"/>
                <w:szCs w:val="24"/>
              </w:rPr>
            </w:pPr>
            <w:r w:rsidRPr="00270255">
              <w:rPr>
                <w:rFonts w:ascii="Times New Roman" w:hAnsi="Times New Roman"/>
                <w:sz w:val="24"/>
                <w:szCs w:val="24"/>
              </w:rPr>
              <w:t xml:space="preserve">instituttet eller dets datterselskaber </w:t>
            </w:r>
          </w:p>
          <w:p w14:paraId="1CB939E8" w14:textId="77777777" w:rsidR="00D435AC" w:rsidRPr="00270255" w:rsidRDefault="00D435AC" w:rsidP="00200B89">
            <w:pPr>
              <w:pStyle w:val="Brdtekst"/>
              <w:numPr>
                <w:ilvl w:val="0"/>
                <w:numId w:val="23"/>
              </w:numPr>
              <w:ind w:left="1452"/>
              <w:rPr>
                <w:rFonts w:ascii="Times New Roman" w:hAnsi="Times New Roman"/>
                <w:sz w:val="24"/>
                <w:szCs w:val="24"/>
              </w:rPr>
            </w:pPr>
            <w:r w:rsidRPr="00270255">
              <w:rPr>
                <w:rFonts w:ascii="Times New Roman" w:hAnsi="Times New Roman"/>
                <w:sz w:val="24"/>
                <w:szCs w:val="24"/>
              </w:rPr>
              <w:t xml:space="preserve">en virksomhed, hvori instituttet har kapitalinteresser i form af besiddelse af mindst 20 % af stemmerettighederne eller kapitalen i virksomheden, enten direkte eller gennem kontrol. </w:t>
            </w:r>
          </w:p>
          <w:p w14:paraId="08EF4D48" w14:textId="3F1F52E5" w:rsidR="00D435AC" w:rsidRPr="00270255" w:rsidRDefault="002508D5" w:rsidP="00200B89">
            <w:pPr>
              <w:pStyle w:val="Brdtekst"/>
              <w:numPr>
                <w:ilvl w:val="0"/>
                <w:numId w:val="22"/>
              </w:numPr>
              <w:ind w:left="885"/>
              <w:rPr>
                <w:rFonts w:ascii="Times New Roman" w:hAnsi="Times New Roman"/>
                <w:sz w:val="24"/>
                <w:szCs w:val="24"/>
              </w:rPr>
            </w:pPr>
            <w:r>
              <w:rPr>
                <w:rFonts w:ascii="Times New Roman" w:hAnsi="Times New Roman"/>
                <w:sz w:val="24"/>
                <w:szCs w:val="24"/>
              </w:rPr>
              <w:t>Erhvervelsen af ejendomsretten</w:t>
            </w:r>
            <w:r w:rsidR="00BF01CA">
              <w:rPr>
                <w:rFonts w:ascii="Times New Roman" w:hAnsi="Times New Roman"/>
                <w:sz w:val="24"/>
                <w:szCs w:val="24"/>
              </w:rPr>
              <w:t xml:space="preserve"> </w:t>
            </w:r>
            <w:r>
              <w:rPr>
                <w:rFonts w:ascii="Times New Roman" w:hAnsi="Times New Roman"/>
                <w:sz w:val="24"/>
                <w:szCs w:val="24"/>
              </w:rPr>
              <w:t>til</w:t>
            </w:r>
            <w:r w:rsidR="00D435AC" w:rsidRPr="00270255">
              <w:rPr>
                <w:rFonts w:ascii="Times New Roman" w:hAnsi="Times New Roman"/>
                <w:sz w:val="24"/>
                <w:szCs w:val="24"/>
              </w:rPr>
              <w:t xml:space="preserve"> instrumenterne er ikke direkte eller indirekte finansieret af instituttet. </w:t>
            </w:r>
          </w:p>
          <w:p w14:paraId="5F746805" w14:textId="1CBC32E2"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Fordringen på instrumenternes hovedstol i henhold til de bestemmelser, som regulerer instrumenterne, er efterstillet alle fordringer</w:t>
            </w:r>
            <w:r w:rsidR="002508D5">
              <w:rPr>
                <w:rFonts w:ascii="Times New Roman" w:hAnsi="Times New Roman"/>
                <w:sz w:val="24"/>
                <w:szCs w:val="24"/>
              </w:rPr>
              <w:t xml:space="preserve"> fra nedskrivningsrelevante passivinstrumenter</w:t>
            </w:r>
            <w:r w:rsidRPr="00270255">
              <w:rPr>
                <w:rFonts w:ascii="Times New Roman" w:hAnsi="Times New Roman"/>
                <w:sz w:val="24"/>
                <w:szCs w:val="24"/>
              </w:rPr>
              <w:t xml:space="preserve">. </w:t>
            </w:r>
          </w:p>
          <w:p w14:paraId="0FC76FBF" w14:textId="7AF8C4CA"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 xml:space="preserve">Ingen af følgende har stillet sikkerhed for instrumenterne eller underlagt dem en garanti, som forbedrer fordringens rangorden: </w:t>
            </w:r>
          </w:p>
          <w:p w14:paraId="7116A363" w14:textId="77777777" w:rsidR="00D435AC" w:rsidRPr="00270255" w:rsidRDefault="00D435AC" w:rsidP="00200B89">
            <w:pPr>
              <w:pStyle w:val="Brdtekst"/>
              <w:numPr>
                <w:ilvl w:val="0"/>
                <w:numId w:val="24"/>
              </w:numPr>
              <w:ind w:left="1452"/>
              <w:rPr>
                <w:rFonts w:ascii="Times New Roman" w:hAnsi="Times New Roman"/>
                <w:sz w:val="24"/>
                <w:szCs w:val="24"/>
              </w:rPr>
            </w:pPr>
            <w:r w:rsidRPr="00270255">
              <w:rPr>
                <w:rFonts w:ascii="Times New Roman" w:hAnsi="Times New Roman"/>
                <w:sz w:val="24"/>
                <w:szCs w:val="24"/>
              </w:rPr>
              <w:t xml:space="preserve">instituttet eller dets datterselskaber </w:t>
            </w:r>
          </w:p>
          <w:p w14:paraId="0C87053A" w14:textId="77777777" w:rsidR="00D435AC" w:rsidRPr="00270255" w:rsidRDefault="00D435AC" w:rsidP="00200B89">
            <w:pPr>
              <w:pStyle w:val="Brdtekst"/>
              <w:numPr>
                <w:ilvl w:val="0"/>
                <w:numId w:val="24"/>
              </w:numPr>
              <w:ind w:left="1452"/>
              <w:rPr>
                <w:rFonts w:ascii="Times New Roman" w:hAnsi="Times New Roman"/>
                <w:sz w:val="24"/>
                <w:szCs w:val="24"/>
              </w:rPr>
            </w:pPr>
            <w:r w:rsidRPr="00270255">
              <w:rPr>
                <w:rFonts w:ascii="Times New Roman" w:hAnsi="Times New Roman"/>
                <w:sz w:val="24"/>
                <w:szCs w:val="24"/>
              </w:rPr>
              <w:t xml:space="preserve">moderselskabet for instituttet eller dets datterselskaber </w:t>
            </w:r>
          </w:p>
          <w:p w14:paraId="32E04A14" w14:textId="77777777" w:rsidR="00D435AC" w:rsidRPr="00270255" w:rsidRDefault="00D435AC" w:rsidP="00200B89">
            <w:pPr>
              <w:pStyle w:val="Brdtekst"/>
              <w:numPr>
                <w:ilvl w:val="0"/>
                <w:numId w:val="24"/>
              </w:numPr>
              <w:ind w:left="1452"/>
              <w:rPr>
                <w:rFonts w:ascii="Times New Roman" w:hAnsi="Times New Roman"/>
                <w:sz w:val="24"/>
                <w:szCs w:val="24"/>
              </w:rPr>
            </w:pPr>
            <w:r w:rsidRPr="00270255">
              <w:rPr>
                <w:rFonts w:ascii="Times New Roman" w:hAnsi="Times New Roman"/>
                <w:sz w:val="24"/>
                <w:szCs w:val="24"/>
              </w:rPr>
              <w:t xml:space="preserve">det finansielle moderholdingselskab eller dets datterselskaber </w:t>
            </w:r>
          </w:p>
          <w:p w14:paraId="6186AA18" w14:textId="77777777" w:rsidR="00D435AC" w:rsidRPr="00270255" w:rsidRDefault="00D435AC" w:rsidP="00200B89">
            <w:pPr>
              <w:pStyle w:val="Brdtekst"/>
              <w:numPr>
                <w:ilvl w:val="0"/>
                <w:numId w:val="24"/>
              </w:numPr>
              <w:ind w:left="1452"/>
              <w:rPr>
                <w:rFonts w:ascii="Times New Roman" w:hAnsi="Times New Roman"/>
                <w:sz w:val="24"/>
                <w:szCs w:val="24"/>
              </w:rPr>
            </w:pPr>
            <w:r w:rsidRPr="00270255">
              <w:rPr>
                <w:rFonts w:ascii="Times New Roman" w:hAnsi="Times New Roman"/>
                <w:sz w:val="24"/>
                <w:szCs w:val="24"/>
              </w:rPr>
              <w:t xml:space="preserve">det blandede holdingselskab eller dets datterselskaber </w:t>
            </w:r>
          </w:p>
          <w:p w14:paraId="063849D7" w14:textId="77777777" w:rsidR="00D435AC" w:rsidRPr="00270255" w:rsidRDefault="00D435AC" w:rsidP="00200B89">
            <w:pPr>
              <w:pStyle w:val="Brdtekst"/>
              <w:numPr>
                <w:ilvl w:val="0"/>
                <w:numId w:val="24"/>
              </w:numPr>
              <w:ind w:left="1452"/>
              <w:rPr>
                <w:rFonts w:ascii="Times New Roman" w:hAnsi="Times New Roman"/>
                <w:sz w:val="24"/>
                <w:szCs w:val="24"/>
              </w:rPr>
            </w:pPr>
            <w:r w:rsidRPr="00270255">
              <w:rPr>
                <w:rFonts w:ascii="Times New Roman" w:hAnsi="Times New Roman"/>
                <w:sz w:val="24"/>
                <w:szCs w:val="24"/>
              </w:rPr>
              <w:t xml:space="preserve">det blandede finansielle holdingselskab eller dets datterselskaber </w:t>
            </w:r>
          </w:p>
          <w:p w14:paraId="38757EE5" w14:textId="77777777" w:rsidR="00D435AC" w:rsidRPr="00270255" w:rsidRDefault="00D435AC" w:rsidP="00200B89">
            <w:pPr>
              <w:pStyle w:val="Brdtekst"/>
              <w:numPr>
                <w:ilvl w:val="0"/>
                <w:numId w:val="24"/>
              </w:numPr>
              <w:ind w:left="1452"/>
              <w:rPr>
                <w:rFonts w:ascii="Times New Roman" w:hAnsi="Times New Roman"/>
                <w:sz w:val="24"/>
                <w:szCs w:val="24"/>
              </w:rPr>
            </w:pPr>
            <w:r w:rsidRPr="00270255">
              <w:rPr>
                <w:rFonts w:ascii="Times New Roman" w:hAnsi="Times New Roman"/>
                <w:sz w:val="24"/>
                <w:szCs w:val="24"/>
              </w:rPr>
              <w:t xml:space="preserve">enhver virksomhed, som har snævre forbindelser med de i nr. i) - v), nævnte enheder. </w:t>
            </w:r>
          </w:p>
          <w:p w14:paraId="0E91DD1A" w14:textId="303DEE4E"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 xml:space="preserve">Instrumenterne er ikke omfattet af ordninger, som på anden måde forbedrer fordringens rangorden. </w:t>
            </w:r>
          </w:p>
          <w:p w14:paraId="0CDBF3FB" w14:textId="52EBE2CD"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 xml:space="preserve">Instrumenterne har en oprindelig løbetid på mindst fem år. </w:t>
            </w:r>
          </w:p>
          <w:p w14:paraId="6D2BAD3C" w14:textId="74E8C5C9"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De bestemmelser, der regulerer instrumenterne</w:t>
            </w:r>
            <w:r w:rsidR="009E2E83">
              <w:rPr>
                <w:rFonts w:ascii="Times New Roman" w:hAnsi="Times New Roman"/>
                <w:sz w:val="24"/>
                <w:szCs w:val="24"/>
              </w:rPr>
              <w:t>,</w:t>
            </w:r>
            <w:r w:rsidRPr="00270255">
              <w:rPr>
                <w:rFonts w:ascii="Times New Roman" w:hAnsi="Times New Roman"/>
                <w:sz w:val="24"/>
                <w:szCs w:val="24"/>
              </w:rPr>
              <w:t xml:space="preserve"> indeholder ikke et incitament til, at instituttet </w:t>
            </w:r>
            <w:r w:rsidR="009E2E83">
              <w:rPr>
                <w:rFonts w:ascii="Times New Roman" w:hAnsi="Times New Roman"/>
                <w:sz w:val="24"/>
                <w:szCs w:val="24"/>
              </w:rPr>
              <w:t xml:space="preserve">henholdsvis </w:t>
            </w:r>
            <w:r w:rsidRPr="00270255">
              <w:rPr>
                <w:rFonts w:ascii="Times New Roman" w:hAnsi="Times New Roman"/>
                <w:sz w:val="24"/>
                <w:szCs w:val="24"/>
              </w:rPr>
              <w:t>ind</w:t>
            </w:r>
            <w:r w:rsidR="009E2E83">
              <w:rPr>
                <w:rFonts w:ascii="Times New Roman" w:hAnsi="Times New Roman"/>
                <w:sz w:val="24"/>
                <w:szCs w:val="24"/>
              </w:rPr>
              <w:t>frier</w:t>
            </w:r>
            <w:r w:rsidRPr="00270255">
              <w:rPr>
                <w:rFonts w:ascii="Times New Roman" w:hAnsi="Times New Roman"/>
                <w:sz w:val="24"/>
                <w:szCs w:val="24"/>
              </w:rPr>
              <w:t xml:space="preserve"> eller tilbagebetaler deres hovedstol, før de udløber. </w:t>
            </w:r>
          </w:p>
          <w:p w14:paraId="3FA1DAD2" w14:textId="122BB429"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 xml:space="preserve">Hvis instrumenterne indeholder en eller flere optioner </w:t>
            </w:r>
            <w:r w:rsidR="009E2E83">
              <w:rPr>
                <w:rFonts w:ascii="Times New Roman" w:hAnsi="Times New Roman"/>
                <w:sz w:val="24"/>
                <w:szCs w:val="24"/>
              </w:rPr>
              <w:t>på</w:t>
            </w:r>
            <w:r w:rsidRPr="00270255">
              <w:rPr>
                <w:rFonts w:ascii="Times New Roman" w:hAnsi="Times New Roman"/>
                <w:sz w:val="24"/>
                <w:szCs w:val="24"/>
              </w:rPr>
              <w:t xml:space="preserve"> førtidig indfrielse, </w:t>
            </w:r>
            <w:r w:rsidR="009E2E83">
              <w:rPr>
                <w:rFonts w:ascii="Times New Roman" w:hAnsi="Times New Roman"/>
                <w:sz w:val="24"/>
                <w:szCs w:val="24"/>
              </w:rPr>
              <w:t>herunder</w:t>
            </w:r>
            <w:r w:rsidR="00BF01CA">
              <w:rPr>
                <w:rFonts w:ascii="Times New Roman" w:hAnsi="Times New Roman"/>
                <w:sz w:val="24"/>
                <w:szCs w:val="24"/>
              </w:rPr>
              <w:t xml:space="preserve"> </w:t>
            </w:r>
            <w:r w:rsidR="009E2E83">
              <w:rPr>
                <w:rFonts w:ascii="Times New Roman" w:hAnsi="Times New Roman"/>
                <w:sz w:val="24"/>
                <w:szCs w:val="24"/>
              </w:rPr>
              <w:t xml:space="preserve">call-optioner, </w:t>
            </w:r>
            <w:r w:rsidRPr="00270255">
              <w:rPr>
                <w:rFonts w:ascii="Times New Roman" w:hAnsi="Times New Roman"/>
                <w:sz w:val="24"/>
                <w:szCs w:val="24"/>
              </w:rPr>
              <w:t xml:space="preserve">kan optionerne </w:t>
            </w:r>
            <w:r w:rsidR="009E2E83">
              <w:rPr>
                <w:rFonts w:ascii="Times New Roman" w:hAnsi="Times New Roman"/>
                <w:sz w:val="24"/>
                <w:szCs w:val="24"/>
              </w:rPr>
              <w:t>kun</w:t>
            </w:r>
            <w:r w:rsidRPr="00270255">
              <w:rPr>
                <w:rFonts w:ascii="Times New Roman" w:hAnsi="Times New Roman"/>
                <w:sz w:val="24"/>
                <w:szCs w:val="24"/>
              </w:rPr>
              <w:t xml:space="preserve"> udnyttes efter udstederens</w:t>
            </w:r>
            <w:r w:rsidR="00BF01CA">
              <w:rPr>
                <w:rFonts w:ascii="Times New Roman" w:hAnsi="Times New Roman"/>
                <w:sz w:val="24"/>
                <w:szCs w:val="24"/>
              </w:rPr>
              <w:t xml:space="preserve"> </w:t>
            </w:r>
            <w:r w:rsidR="009E2E83">
              <w:rPr>
                <w:rFonts w:ascii="Times New Roman" w:hAnsi="Times New Roman"/>
                <w:sz w:val="24"/>
                <w:szCs w:val="24"/>
              </w:rPr>
              <w:t>eget</w:t>
            </w:r>
            <w:r w:rsidRPr="00270255">
              <w:rPr>
                <w:rFonts w:ascii="Times New Roman" w:hAnsi="Times New Roman"/>
                <w:sz w:val="24"/>
                <w:szCs w:val="24"/>
              </w:rPr>
              <w:t xml:space="preserve"> valg. </w:t>
            </w:r>
          </w:p>
          <w:p w14:paraId="3F54863A" w14:textId="22C9E1F4"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Instrumenterne kan kun opkræves, indfries</w:t>
            </w:r>
            <w:r w:rsidR="00A06A23">
              <w:rPr>
                <w:rFonts w:ascii="Times New Roman" w:hAnsi="Times New Roman"/>
                <w:sz w:val="24"/>
                <w:szCs w:val="24"/>
              </w:rPr>
              <w:t>, tilbagebetales eller genkøbes før</w:t>
            </w:r>
            <w:r w:rsidRPr="00270255">
              <w:rPr>
                <w:rFonts w:ascii="Times New Roman" w:hAnsi="Times New Roman"/>
                <w:sz w:val="24"/>
                <w:szCs w:val="24"/>
              </w:rPr>
              <w:t xml:space="preserve"> udløb</w:t>
            </w:r>
            <w:r w:rsidR="00A06A23">
              <w:rPr>
                <w:rFonts w:ascii="Times New Roman" w:hAnsi="Times New Roman"/>
                <w:sz w:val="24"/>
                <w:szCs w:val="24"/>
              </w:rPr>
              <w:t>,</w:t>
            </w:r>
            <w:r w:rsidRPr="00270255">
              <w:rPr>
                <w:rFonts w:ascii="Times New Roman" w:hAnsi="Times New Roman"/>
                <w:sz w:val="24"/>
                <w:szCs w:val="24"/>
              </w:rPr>
              <w:t xml:space="preserve"> når betingelserne i artikel 77 er opfyldt, og først fem år efter udstedelsesdatoen, undtagen i de tilfælde, hvor betingelserne i artikel 78, stk. 4, er opfyldt.</w:t>
            </w:r>
          </w:p>
          <w:p w14:paraId="28AE340A" w14:textId="64B45353"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De bestemmelser, som regulerer instrumenterne</w:t>
            </w:r>
            <w:r w:rsidR="00C44D2A">
              <w:rPr>
                <w:rFonts w:ascii="Times New Roman" w:hAnsi="Times New Roman"/>
                <w:sz w:val="24"/>
                <w:szCs w:val="24"/>
              </w:rPr>
              <w:t>,</w:t>
            </w:r>
            <w:r w:rsidRPr="00270255">
              <w:rPr>
                <w:rFonts w:ascii="Times New Roman" w:hAnsi="Times New Roman"/>
                <w:sz w:val="24"/>
                <w:szCs w:val="24"/>
              </w:rPr>
              <w:t xml:space="preserve"> angiver ikke eksplicit eller implicit, at instrumenterne blive</w:t>
            </w:r>
            <w:r w:rsidR="00C44D2A">
              <w:rPr>
                <w:rFonts w:ascii="Times New Roman" w:hAnsi="Times New Roman"/>
                <w:sz w:val="24"/>
                <w:szCs w:val="24"/>
              </w:rPr>
              <w:t>r</w:t>
            </w:r>
            <w:r w:rsidRPr="00270255">
              <w:rPr>
                <w:rFonts w:ascii="Times New Roman" w:hAnsi="Times New Roman"/>
                <w:sz w:val="24"/>
                <w:szCs w:val="24"/>
              </w:rPr>
              <w:t xml:space="preserve"> opkrævet, indfriet, </w:t>
            </w:r>
            <w:r w:rsidR="00C44D2A">
              <w:rPr>
                <w:rFonts w:ascii="Times New Roman" w:hAnsi="Times New Roman"/>
                <w:sz w:val="24"/>
                <w:szCs w:val="24"/>
              </w:rPr>
              <w:t xml:space="preserve">tilbagebetalt eller </w:t>
            </w:r>
            <w:r w:rsidRPr="00270255">
              <w:rPr>
                <w:rFonts w:ascii="Times New Roman" w:hAnsi="Times New Roman"/>
                <w:sz w:val="24"/>
                <w:szCs w:val="24"/>
              </w:rPr>
              <w:t>genkøbt før</w:t>
            </w:r>
            <w:r w:rsidR="00C44D2A">
              <w:rPr>
                <w:rFonts w:ascii="Times New Roman" w:hAnsi="Times New Roman"/>
                <w:sz w:val="24"/>
                <w:szCs w:val="24"/>
              </w:rPr>
              <w:t xml:space="preserve"> udløb</w:t>
            </w:r>
            <w:r w:rsidRPr="00270255">
              <w:rPr>
                <w:rFonts w:ascii="Times New Roman" w:hAnsi="Times New Roman"/>
                <w:sz w:val="24"/>
                <w:szCs w:val="24"/>
              </w:rPr>
              <w:t xml:space="preserve"> af instituttet </w:t>
            </w:r>
            <w:r w:rsidR="00C44D2A">
              <w:rPr>
                <w:rFonts w:ascii="Times New Roman" w:hAnsi="Times New Roman"/>
                <w:sz w:val="24"/>
                <w:szCs w:val="24"/>
              </w:rPr>
              <w:t>i andre tilfælde</w:t>
            </w:r>
            <w:r w:rsidRPr="00270255">
              <w:rPr>
                <w:rFonts w:ascii="Times New Roman" w:hAnsi="Times New Roman"/>
                <w:sz w:val="24"/>
                <w:szCs w:val="24"/>
              </w:rPr>
              <w:t xml:space="preserve"> end i forbindelse med instituttets insolvens eller likvidation, og instituttet tilkendegiver ikke dette på anden måde. </w:t>
            </w:r>
          </w:p>
          <w:p w14:paraId="3E0F3CB9" w14:textId="7F773563" w:rsidR="00D435AC" w:rsidRPr="00270255" w:rsidRDefault="00D435AC" w:rsidP="00200B89">
            <w:pPr>
              <w:pStyle w:val="Brdtekst"/>
              <w:numPr>
                <w:ilvl w:val="0"/>
                <w:numId w:val="22"/>
              </w:numPr>
              <w:ind w:left="885"/>
              <w:rPr>
                <w:rFonts w:ascii="Times New Roman" w:hAnsi="Times New Roman"/>
                <w:sz w:val="24"/>
                <w:szCs w:val="24"/>
              </w:rPr>
            </w:pPr>
            <w:r w:rsidRPr="00270255">
              <w:rPr>
                <w:rFonts w:ascii="Times New Roman" w:hAnsi="Times New Roman"/>
                <w:sz w:val="24"/>
                <w:szCs w:val="24"/>
              </w:rPr>
              <w:lastRenderedPageBreak/>
              <w:t xml:space="preserve">De bestemmelser, som regulerer instrumenterne, giver ikke indehaveren ret til at fremskynde de planlagte betalinger af renter og afdrag, undtagen i </w:t>
            </w:r>
            <w:r w:rsidR="00E72FC0">
              <w:rPr>
                <w:rFonts w:ascii="Times New Roman" w:hAnsi="Times New Roman"/>
                <w:sz w:val="24"/>
                <w:szCs w:val="24"/>
              </w:rPr>
              <w:t>tilfælde</w:t>
            </w:r>
            <w:r w:rsidRPr="00270255">
              <w:rPr>
                <w:rFonts w:ascii="Times New Roman" w:hAnsi="Times New Roman"/>
                <w:sz w:val="24"/>
                <w:szCs w:val="24"/>
              </w:rPr>
              <w:t xml:space="preserve"> </w:t>
            </w:r>
            <w:r w:rsidR="00E72FC0">
              <w:rPr>
                <w:rFonts w:ascii="Times New Roman" w:hAnsi="Times New Roman"/>
                <w:sz w:val="24"/>
                <w:szCs w:val="24"/>
              </w:rPr>
              <w:t xml:space="preserve">af </w:t>
            </w:r>
            <w:r w:rsidRPr="00270255">
              <w:rPr>
                <w:rFonts w:ascii="Times New Roman" w:hAnsi="Times New Roman"/>
                <w:sz w:val="24"/>
                <w:szCs w:val="24"/>
              </w:rPr>
              <w:t xml:space="preserve">instituttets insolvens eller likvidation. </w:t>
            </w:r>
          </w:p>
          <w:p w14:paraId="2A9BF7C6" w14:textId="77777777" w:rsidR="00561DA0" w:rsidRDefault="00D435AC" w:rsidP="00561DA0">
            <w:pPr>
              <w:pStyle w:val="Brdtekst"/>
              <w:numPr>
                <w:ilvl w:val="0"/>
                <w:numId w:val="22"/>
              </w:numPr>
              <w:ind w:left="885"/>
              <w:rPr>
                <w:rFonts w:ascii="Times New Roman" w:hAnsi="Times New Roman"/>
                <w:sz w:val="24"/>
                <w:szCs w:val="24"/>
              </w:rPr>
            </w:pPr>
            <w:r w:rsidRPr="00270255">
              <w:rPr>
                <w:rFonts w:ascii="Times New Roman" w:hAnsi="Times New Roman"/>
                <w:sz w:val="24"/>
                <w:szCs w:val="24"/>
              </w:rPr>
              <w:t xml:space="preserve">Størrelsen af de forfaldne renter eller udbytter af instrumenterne vil ikke blive ændret på </w:t>
            </w:r>
            <w:r w:rsidR="00B02CF1">
              <w:rPr>
                <w:rFonts w:ascii="Times New Roman" w:hAnsi="Times New Roman"/>
                <w:sz w:val="24"/>
                <w:szCs w:val="24"/>
              </w:rPr>
              <w:t xml:space="preserve">baggrund </w:t>
            </w:r>
            <w:r w:rsidRPr="00270255">
              <w:rPr>
                <w:rFonts w:ascii="Times New Roman" w:hAnsi="Times New Roman"/>
                <w:sz w:val="24"/>
                <w:szCs w:val="24"/>
              </w:rPr>
              <w:t>af kreditsituationen for instituttet eller dets moderselskab.</w:t>
            </w:r>
          </w:p>
          <w:p w14:paraId="0B69EE89" w14:textId="77777777" w:rsidR="00561DA0" w:rsidRDefault="00B02CF1" w:rsidP="00561DA0">
            <w:pPr>
              <w:pStyle w:val="Brdtekst"/>
              <w:numPr>
                <w:ilvl w:val="0"/>
                <w:numId w:val="22"/>
              </w:numPr>
              <w:ind w:left="885"/>
              <w:rPr>
                <w:color w:val="000000"/>
              </w:rPr>
            </w:pPr>
            <w:r w:rsidRPr="00561DA0">
              <w:rPr>
                <w:color w:val="000000"/>
              </w:rPr>
              <w:t>Hvis udstederen er etableret i et tredjeland og er udpeget i henhold til artikel 12 i direktiv 2014/59/EU som en del af en afviklingskoncern, hvis afviklingsenhed er etableret i Unionen, eller hvis udstederen er etableret i en medlemsstat, skal instrumenternes hovedstol i henhold til den lov eller de kontraktlige bestemmelser, som regulerer instrumenterne, efter afviklingsmyndighedens afgørelse om at udøve nedskrivnings- og konverteringsbeføjelserne omhandlet i artikel 59 i nævnte direktiv nedskrives permanent, eller instrumenterne skal konverteres til egentlige kernekapitalinstrumenter;</w:t>
            </w:r>
          </w:p>
          <w:p w14:paraId="52C233F0" w14:textId="77777777" w:rsidR="00561DA0" w:rsidRDefault="00561DA0" w:rsidP="00561DA0">
            <w:pPr>
              <w:pStyle w:val="Brdtekst"/>
              <w:ind w:left="885"/>
              <w:rPr>
                <w:color w:val="000000"/>
              </w:rPr>
            </w:pPr>
          </w:p>
          <w:p w14:paraId="6D4021BE" w14:textId="6B08FC41" w:rsidR="00561DA0" w:rsidRDefault="00B02CF1" w:rsidP="00561DA0">
            <w:pPr>
              <w:pStyle w:val="Brdtekst"/>
              <w:ind w:left="885"/>
              <w:rPr>
                <w:color w:val="000000"/>
              </w:rPr>
            </w:pPr>
            <w:r w:rsidRPr="00561DA0">
              <w:rPr>
                <w:color w:val="000000"/>
              </w:rPr>
              <w:t>hvis udstederen er etableret i et tredjeland og ikke er udpeget i henhold til artikel 12 i direktiv 2014/59/EU som en del af en afviklingskoncern, hvis afviklingsenhed er etableret i Unionen, skal instrumenternes hovedstol i henhold til den lov eller de kontraktlige bestemmelser, som regulerer instrumenterne, efter den relevante tredjelandsmyndigheds afgørelse nedskrives permanent eller konverteres til egentlige kernekapitalinstrumenter.</w:t>
            </w:r>
          </w:p>
          <w:p w14:paraId="4C1AF122" w14:textId="77777777" w:rsidR="00561DA0" w:rsidRDefault="00561DA0" w:rsidP="00561DA0">
            <w:pPr>
              <w:pStyle w:val="Brdtekst"/>
              <w:numPr>
                <w:ilvl w:val="0"/>
                <w:numId w:val="22"/>
              </w:numPr>
              <w:ind w:left="885"/>
              <w:rPr>
                <w:color w:val="000000"/>
              </w:rPr>
            </w:pPr>
            <w:r w:rsidRPr="00561DA0">
              <w:rPr>
                <w:color w:val="000000"/>
              </w:rPr>
              <w:t>Hvis udstederen er etableret i et tredjeland og er udpeget i henhold til artikel 12 i direktiv 2014/59/EU som en del af en afviklingskon-cern, hvis afviklingsenhed er etableret i Unionen, eller hvis udstederen er etableret i en medlemsstat, må instrumenterne kun udstedes i henhold til eller på anden måde være omfattet af et tredjelands lovgivning, såfremt udøvelsen af nedskrivnings- og konverteringsbefø-jelserne, jf. artikel 59 i nævnte direktiv, i henhold til dette tredjelands lovgivning er effektiv og kan håndhæves på grundlag af lovbe-stemmelser eller juridisk bindende kontraktlige bestemmelser, der anerkender afviklings- eller andre nedskrivnings- eller konverte-ringshandlinger.</w:t>
            </w:r>
          </w:p>
          <w:p w14:paraId="3C1199A7" w14:textId="636F9E5B" w:rsidR="00561DA0" w:rsidRPr="00561DA0" w:rsidRDefault="00561DA0" w:rsidP="00561DA0">
            <w:pPr>
              <w:pStyle w:val="Brdtekst"/>
              <w:numPr>
                <w:ilvl w:val="0"/>
                <w:numId w:val="22"/>
              </w:numPr>
              <w:ind w:left="885"/>
              <w:rPr>
                <w:color w:val="000000"/>
              </w:rPr>
            </w:pPr>
            <w:r w:rsidRPr="00561DA0">
              <w:rPr>
                <w:color w:val="000000"/>
              </w:rPr>
              <w:t>Instrumenterne er ikke omfattet af modregnings- eller nettingaftaler, der ville underminere deres tabsabsorberingskapacitet.</w:t>
            </w:r>
          </w:p>
          <w:p w14:paraId="5B53F9A7" w14:textId="77777777" w:rsidR="00561DA0" w:rsidRDefault="00561DA0" w:rsidP="00561DA0">
            <w:pPr>
              <w:pStyle w:val="Brdtekst"/>
              <w:ind w:left="885"/>
              <w:rPr>
                <w:color w:val="000000"/>
              </w:rPr>
            </w:pPr>
          </w:p>
          <w:p w14:paraId="7C1F3053" w14:textId="5B97F623" w:rsidR="00855188" w:rsidRPr="00E83994" w:rsidRDefault="00B02CF1" w:rsidP="00822A18">
            <w:pPr>
              <w:pStyle w:val="Brdtekst"/>
              <w:rPr>
                <w:color w:val="000000"/>
              </w:rPr>
            </w:pPr>
            <w:r>
              <w:rPr>
                <w:color w:val="000000"/>
              </w:rPr>
              <w:t>Kun den del af et kapitalinstrument, der er fuldt indbetalt, kan med henblik på første afsnit, litra a), betragtes som et supplerende kapitalinstrument</w:t>
            </w:r>
          </w:p>
          <w:p w14:paraId="56218358" w14:textId="77777777" w:rsidR="00E83994" w:rsidRPr="00270255" w:rsidRDefault="00E83994" w:rsidP="00822A18">
            <w:pPr>
              <w:pStyle w:val="Brdtekst"/>
              <w:rPr>
                <w:rFonts w:ascii="Times New Roman" w:hAnsi="Times New Roman"/>
                <w:sz w:val="24"/>
                <w:szCs w:val="24"/>
              </w:rPr>
            </w:pPr>
          </w:p>
        </w:tc>
      </w:tr>
      <w:tr w:rsidR="00B94953" w:rsidRPr="00270255" w14:paraId="53D59B18" w14:textId="77777777" w:rsidTr="00822A18">
        <w:tc>
          <w:tcPr>
            <w:tcW w:w="3544" w:type="dxa"/>
          </w:tcPr>
          <w:p w14:paraId="6C87F0A9" w14:textId="77777777" w:rsidR="00D435AC" w:rsidRPr="00270255" w:rsidRDefault="00D435AC" w:rsidP="00D435AC">
            <w:pPr>
              <w:rPr>
                <w:b/>
                <w:u w:val="single"/>
              </w:rPr>
            </w:pPr>
            <w:r w:rsidRPr="00270255">
              <w:rPr>
                <w:b/>
                <w:u w:val="single"/>
              </w:rPr>
              <w:lastRenderedPageBreak/>
              <w:t xml:space="preserve">Spørgsmål </w:t>
            </w:r>
            <w:r w:rsidR="00B54D5C">
              <w:rPr>
                <w:b/>
                <w:u w:val="single"/>
              </w:rPr>
              <w:t>9</w:t>
            </w:r>
            <w:r w:rsidRPr="00270255">
              <w:rPr>
                <w:b/>
                <w:u w:val="single"/>
              </w:rPr>
              <w:t>.</w:t>
            </w:r>
            <w:r w:rsidR="00A936F2">
              <w:rPr>
                <w:b/>
                <w:u w:val="single"/>
              </w:rPr>
              <w:t>1:</w:t>
            </w:r>
          </w:p>
          <w:p w14:paraId="36287D27" w14:textId="77777777" w:rsidR="00200B89" w:rsidRPr="00270255" w:rsidRDefault="00200B89" w:rsidP="00200B89">
            <w:r w:rsidRPr="00270255">
              <w:t xml:space="preserve">Opfylder instituttets </w:t>
            </w:r>
            <w:r w:rsidR="00370D4A" w:rsidRPr="00270255">
              <w:t xml:space="preserve">supplerende </w:t>
            </w:r>
            <w:r w:rsidRPr="00270255">
              <w:t>kapitalinstrumenter</w:t>
            </w:r>
            <w:r w:rsidR="000C4893" w:rsidRPr="00270255">
              <w:t xml:space="preserve"> </w:t>
            </w:r>
            <w:r w:rsidRPr="00270255">
              <w:t>betingelserne i litra a-</w:t>
            </w:r>
            <w:r w:rsidR="005268E3" w:rsidRPr="00270255">
              <w:t>n</w:t>
            </w:r>
            <w:r w:rsidRPr="00270255">
              <w:t>?</w:t>
            </w:r>
          </w:p>
          <w:p w14:paraId="4A562173" w14:textId="77777777" w:rsidR="00200B89" w:rsidRPr="00270255" w:rsidRDefault="00200B89" w:rsidP="00200B89"/>
          <w:p w14:paraId="654E2246" w14:textId="77777777" w:rsidR="00DB0A06" w:rsidRDefault="00200B89" w:rsidP="00200B89">
            <w:r w:rsidRPr="00270255">
              <w:t xml:space="preserve">I relation til litra c henvises til uddybende spørgsmål </w:t>
            </w:r>
            <w:r w:rsidR="00DB0A06">
              <w:t xml:space="preserve">i tabel </w:t>
            </w:r>
          </w:p>
          <w:p w14:paraId="0185CE0C" w14:textId="77777777" w:rsidR="00200B89" w:rsidRDefault="00DB0A06" w:rsidP="00200B89">
            <w:r>
              <w:t xml:space="preserve">3 </w:t>
            </w:r>
            <w:r w:rsidR="00200B89" w:rsidRPr="00270255">
              <w:t>om indirekte finansiering</w:t>
            </w:r>
          </w:p>
          <w:p w14:paraId="5EE8E6E7" w14:textId="70CC575A" w:rsidR="00855188" w:rsidRPr="00270255" w:rsidRDefault="00855188" w:rsidP="00822A18"/>
        </w:tc>
        <w:tc>
          <w:tcPr>
            <w:tcW w:w="851" w:type="dxa"/>
          </w:tcPr>
          <w:p w14:paraId="27EF1784" w14:textId="77777777" w:rsidR="00B94953" w:rsidRPr="00270255" w:rsidRDefault="00B94953" w:rsidP="00822A18">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1A65F680" w14:textId="77777777" w:rsidR="00B94953" w:rsidRPr="00270255" w:rsidRDefault="00B94953" w:rsidP="00822A18"/>
        </w:tc>
        <w:tc>
          <w:tcPr>
            <w:tcW w:w="6946" w:type="dxa"/>
          </w:tcPr>
          <w:p w14:paraId="54AE5448" w14:textId="77777777" w:rsidR="00B94953" w:rsidRPr="00270255" w:rsidRDefault="00B94953" w:rsidP="00822A18">
            <w:pPr>
              <w:snapToGrid w:val="0"/>
            </w:pPr>
            <w:r w:rsidRPr="00270255">
              <w:t>Redegørelse</w:t>
            </w:r>
          </w:p>
          <w:p w14:paraId="3EE42872" w14:textId="77777777" w:rsidR="00B94953" w:rsidRPr="00270255" w:rsidRDefault="00B94953" w:rsidP="00822A1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1F07288" w14:textId="77777777" w:rsidR="00B94953" w:rsidRPr="00270255" w:rsidRDefault="00B94953" w:rsidP="00822A18">
            <w:pPr>
              <w:snapToGrid w:val="0"/>
            </w:pPr>
          </w:p>
        </w:tc>
        <w:tc>
          <w:tcPr>
            <w:tcW w:w="2268" w:type="dxa"/>
          </w:tcPr>
          <w:p w14:paraId="1066B270" w14:textId="77777777" w:rsidR="00B94953" w:rsidRPr="00270255" w:rsidRDefault="00B94953" w:rsidP="00822A18">
            <w:pPr>
              <w:snapToGrid w:val="0"/>
            </w:pPr>
            <w:r w:rsidRPr="00270255">
              <w:t>Forbeholdt Finanstilsynet</w:t>
            </w:r>
          </w:p>
          <w:p w14:paraId="4ED81CCC" w14:textId="77777777" w:rsidR="00B94953" w:rsidRPr="00270255" w:rsidRDefault="00B94953" w:rsidP="00822A1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6E3FCA" w:rsidRPr="00270255" w14:paraId="7FB82C42" w14:textId="77777777" w:rsidTr="00822A18">
        <w:tc>
          <w:tcPr>
            <w:tcW w:w="3544" w:type="dxa"/>
          </w:tcPr>
          <w:p w14:paraId="44ABD184" w14:textId="77777777" w:rsidR="006E3FCA" w:rsidRPr="00270255" w:rsidRDefault="006E3FCA" w:rsidP="0054307A">
            <w:pPr>
              <w:rPr>
                <w:b/>
                <w:u w:val="single"/>
              </w:rPr>
            </w:pPr>
            <w:r w:rsidRPr="00270255">
              <w:rPr>
                <w:b/>
                <w:u w:val="single"/>
              </w:rPr>
              <w:lastRenderedPageBreak/>
              <w:t xml:space="preserve">Spørgsmål </w:t>
            </w:r>
            <w:r w:rsidR="00B54D5C">
              <w:rPr>
                <w:b/>
                <w:u w:val="single"/>
              </w:rPr>
              <w:t>9</w:t>
            </w:r>
            <w:r w:rsidR="00C5143F" w:rsidRPr="00270255">
              <w:rPr>
                <w:b/>
                <w:u w:val="single"/>
              </w:rPr>
              <w:t>.</w:t>
            </w:r>
            <w:r w:rsidR="00A936F2">
              <w:rPr>
                <w:b/>
                <w:u w:val="single"/>
              </w:rPr>
              <w:t>2</w:t>
            </w:r>
            <w:r w:rsidR="00C5143F" w:rsidRPr="00270255">
              <w:rPr>
                <w:b/>
                <w:u w:val="single"/>
              </w:rPr>
              <w:t>:</w:t>
            </w:r>
          </w:p>
          <w:p w14:paraId="0E91A114" w14:textId="77777777" w:rsidR="006E3FCA" w:rsidRDefault="006E3FCA" w:rsidP="006E3FCA">
            <w:r w:rsidRPr="00270255">
              <w:t>Har instituttet i sin beregning af den supplerende kapital taget højde for, at supplerende kapitalinstrumenter ikke kan medregnes fuldt ud i de sidste fem år af instrumenternes levetid, jf. artikel 64?</w:t>
            </w:r>
          </w:p>
          <w:p w14:paraId="03DD33DE" w14:textId="77777777" w:rsidR="00855188" w:rsidRDefault="00855188" w:rsidP="006E3FCA"/>
          <w:p w14:paraId="581B7695" w14:textId="77777777" w:rsidR="00855188" w:rsidRDefault="00855188" w:rsidP="006E3FCA"/>
          <w:p w14:paraId="30A10F0B" w14:textId="77777777" w:rsidR="00855188" w:rsidRPr="00270255" w:rsidRDefault="00855188" w:rsidP="006E3FCA"/>
          <w:p w14:paraId="2DCAD577" w14:textId="77777777" w:rsidR="00D22627" w:rsidRPr="00270255" w:rsidRDefault="00D22627" w:rsidP="006E3FCA"/>
        </w:tc>
        <w:tc>
          <w:tcPr>
            <w:tcW w:w="851" w:type="dxa"/>
          </w:tcPr>
          <w:p w14:paraId="596C001C" w14:textId="77777777" w:rsidR="006E3FCA" w:rsidRPr="00270255" w:rsidRDefault="006E3FCA" w:rsidP="0054307A">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1F4D0FC2" w14:textId="77777777" w:rsidR="006E3FCA" w:rsidRPr="00270255" w:rsidRDefault="006E3FCA" w:rsidP="0054307A"/>
        </w:tc>
        <w:tc>
          <w:tcPr>
            <w:tcW w:w="6946" w:type="dxa"/>
          </w:tcPr>
          <w:p w14:paraId="6A625A4B" w14:textId="77777777" w:rsidR="006E3FCA" w:rsidRPr="00270255" w:rsidRDefault="006E3FCA" w:rsidP="0054307A">
            <w:pPr>
              <w:snapToGrid w:val="0"/>
            </w:pPr>
            <w:r w:rsidRPr="00270255">
              <w:t>Redegørelse</w:t>
            </w:r>
          </w:p>
          <w:p w14:paraId="5A2EE0C3" w14:textId="77777777" w:rsidR="006E3FCA" w:rsidRPr="00270255" w:rsidRDefault="006E3FCA" w:rsidP="0054307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37179CC" w14:textId="77777777" w:rsidR="006E3FCA" w:rsidRPr="00270255" w:rsidRDefault="006E3FCA" w:rsidP="0054307A">
            <w:pPr>
              <w:snapToGrid w:val="0"/>
            </w:pPr>
          </w:p>
        </w:tc>
        <w:tc>
          <w:tcPr>
            <w:tcW w:w="2268" w:type="dxa"/>
          </w:tcPr>
          <w:p w14:paraId="435A6299" w14:textId="77777777" w:rsidR="006E3FCA" w:rsidRPr="00270255" w:rsidRDefault="006E3FCA" w:rsidP="0054307A">
            <w:pPr>
              <w:snapToGrid w:val="0"/>
            </w:pPr>
            <w:r w:rsidRPr="00270255">
              <w:t>Forbeholdt Finanstilsynet</w:t>
            </w:r>
          </w:p>
          <w:p w14:paraId="7D85591A" w14:textId="77777777" w:rsidR="006E3FCA" w:rsidRPr="00270255" w:rsidRDefault="006E3FCA" w:rsidP="0054307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9B3C57" w:rsidRPr="00270255" w14:paraId="6BD49C25" w14:textId="77777777" w:rsidTr="009B3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09" w:type="dxa"/>
            <w:gridSpan w:val="4"/>
            <w:tcBorders>
              <w:top w:val="single" w:sz="4" w:space="0" w:color="000000"/>
              <w:left w:val="single" w:sz="4" w:space="0" w:color="000000"/>
              <w:bottom w:val="single" w:sz="4" w:space="0" w:color="000000"/>
              <w:right w:val="single" w:sz="4" w:space="0" w:color="000000"/>
            </w:tcBorders>
          </w:tcPr>
          <w:p w14:paraId="5786DCE2" w14:textId="77777777" w:rsidR="009B3C57" w:rsidRPr="00270255" w:rsidRDefault="009B3C57" w:rsidP="009B3C57">
            <w:pPr>
              <w:pStyle w:val="Overskrift1"/>
              <w:numPr>
                <w:ilvl w:val="0"/>
                <w:numId w:val="2"/>
              </w:numPr>
              <w:rPr>
                <w:rFonts w:cs="Times New Roman"/>
                <w:szCs w:val="24"/>
              </w:rPr>
            </w:pPr>
            <w:r w:rsidRPr="00270255">
              <w:rPr>
                <w:rFonts w:cs="Times New Roman"/>
                <w:szCs w:val="24"/>
              </w:rPr>
              <w:br w:type="page"/>
              <w:t>Fradrag i supplerende kapital</w:t>
            </w:r>
          </w:p>
        </w:tc>
      </w:tr>
      <w:tr w:rsidR="009B3C57" w:rsidRPr="00270255" w14:paraId="4438C1D5" w14:textId="77777777" w:rsidTr="009B3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09" w:type="dxa"/>
            <w:gridSpan w:val="4"/>
            <w:tcBorders>
              <w:left w:val="single" w:sz="4" w:space="0" w:color="000000"/>
              <w:bottom w:val="single" w:sz="4" w:space="0" w:color="000000"/>
              <w:right w:val="single" w:sz="4" w:space="0" w:color="000000"/>
            </w:tcBorders>
          </w:tcPr>
          <w:p w14:paraId="567733AC" w14:textId="77777777" w:rsidR="00DB0A06" w:rsidRDefault="00DB0A06" w:rsidP="00370D4A">
            <w:pPr>
              <w:snapToGrid w:val="0"/>
            </w:pPr>
          </w:p>
          <w:p w14:paraId="36062D9E" w14:textId="77777777" w:rsidR="00370D4A" w:rsidRDefault="00370D4A" w:rsidP="00370D4A">
            <w:pPr>
              <w:snapToGrid w:val="0"/>
            </w:pPr>
            <w:r w:rsidRPr="00270255">
              <w:t>CRR, artikel 66 lister en række fradrag, som institutterne skal foretage i supplerende kapital.</w:t>
            </w:r>
          </w:p>
          <w:p w14:paraId="2610E1F6" w14:textId="77777777" w:rsidR="00AB2B16" w:rsidRDefault="00AB2B16" w:rsidP="00370D4A">
            <w:pPr>
              <w:snapToGrid w:val="0"/>
            </w:pPr>
          </w:p>
          <w:p w14:paraId="70B972DB" w14:textId="77777777" w:rsidR="00AB2B16" w:rsidRDefault="00AB2B16" w:rsidP="00AB2B16">
            <w:pPr>
              <w:snapToGrid w:val="0"/>
            </w:pPr>
            <w:r w:rsidRPr="00270255">
              <w:t xml:space="preserve">Reglerne for fradrag er yderligere præciseret i </w:t>
            </w:r>
            <w:r>
              <w:t>CRR, artikel 67-70.</w:t>
            </w:r>
          </w:p>
          <w:p w14:paraId="15782942" w14:textId="77777777" w:rsidR="00370D4A" w:rsidRPr="00270255" w:rsidRDefault="00370D4A" w:rsidP="00370D4A">
            <w:pPr>
              <w:snapToGrid w:val="0"/>
            </w:pPr>
          </w:p>
          <w:p w14:paraId="3DD37975" w14:textId="77777777" w:rsidR="00370D4A" w:rsidRPr="00270255" w:rsidRDefault="00370D4A" w:rsidP="00370D4A">
            <w:pPr>
              <w:snapToGrid w:val="0"/>
            </w:pPr>
            <w:r w:rsidRPr="00270255">
              <w:t>Nedenfor bedes instituttet angive, hvorvidt instituttet har fradrag af de respektive poster. Hvor fradragene ikke er relevante for instituttet bedes dette anført.</w:t>
            </w:r>
          </w:p>
          <w:p w14:paraId="74E744FC" w14:textId="77777777" w:rsidR="00D435AC" w:rsidRDefault="00D435AC" w:rsidP="00D435AC">
            <w:pPr>
              <w:pStyle w:val="Brdtekst"/>
              <w:rPr>
                <w:rFonts w:ascii="Times New Roman" w:hAnsi="Times New Roman"/>
                <w:sz w:val="24"/>
                <w:szCs w:val="24"/>
              </w:rPr>
            </w:pPr>
          </w:p>
          <w:p w14:paraId="674E5C53" w14:textId="77777777" w:rsidR="0049685A" w:rsidRPr="00270255" w:rsidRDefault="0049685A" w:rsidP="00D435AC">
            <w:pPr>
              <w:pStyle w:val="Brdtekst"/>
              <w:rPr>
                <w:rFonts w:ascii="Times New Roman" w:hAnsi="Times New Roman"/>
                <w:sz w:val="24"/>
                <w:szCs w:val="24"/>
              </w:rPr>
            </w:pPr>
          </w:p>
        </w:tc>
      </w:tr>
      <w:tr w:rsidR="009B3C57" w:rsidRPr="00270255" w14:paraId="70D18FEC" w14:textId="77777777" w:rsidTr="009B3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000000"/>
              <w:left w:val="single" w:sz="4" w:space="0" w:color="000000"/>
              <w:bottom w:val="single" w:sz="4" w:space="0" w:color="000000"/>
            </w:tcBorders>
          </w:tcPr>
          <w:p w14:paraId="5070CE83" w14:textId="77777777" w:rsidR="009B3C57" w:rsidRPr="00270255" w:rsidRDefault="009B3C57" w:rsidP="009B3C57">
            <w:r w:rsidRPr="00270255">
              <w:rPr>
                <w:b/>
                <w:u w:val="single"/>
              </w:rPr>
              <w:t xml:space="preserve">Spørgsmål </w:t>
            </w:r>
            <w:r w:rsidR="00B54D5C">
              <w:rPr>
                <w:b/>
                <w:u w:val="single"/>
              </w:rPr>
              <w:t>10</w:t>
            </w:r>
            <w:r w:rsidRPr="00270255">
              <w:rPr>
                <w:b/>
                <w:u w:val="single"/>
              </w:rPr>
              <w:t>.1:</w:t>
            </w:r>
            <w:r w:rsidRPr="00270255">
              <w:t xml:space="preserve"> </w:t>
            </w:r>
          </w:p>
          <w:p w14:paraId="12AF5208" w14:textId="77777777" w:rsidR="009B3C57" w:rsidRDefault="00370D4A" w:rsidP="009B3C57">
            <w:pPr>
              <w:pStyle w:val="Brdtekst"/>
              <w:rPr>
                <w:rFonts w:ascii="Times New Roman" w:hAnsi="Times New Roman"/>
                <w:sz w:val="24"/>
                <w:szCs w:val="24"/>
              </w:rPr>
            </w:pPr>
            <w:r w:rsidRPr="00270255">
              <w:rPr>
                <w:rFonts w:ascii="Times New Roman" w:hAnsi="Times New Roman"/>
                <w:sz w:val="24"/>
                <w:szCs w:val="24"/>
              </w:rPr>
              <w:t xml:space="preserve">Art. 66, litra a - et instituts direkte, indirekte og syntetiske besiddelser af egne supplerende kapitalinstrumenter, herunder </w:t>
            </w:r>
            <w:r w:rsidRPr="00270255">
              <w:rPr>
                <w:rFonts w:ascii="Times New Roman" w:hAnsi="Times New Roman"/>
                <w:i/>
                <w:sz w:val="24"/>
                <w:szCs w:val="24"/>
              </w:rPr>
              <w:t>egne</w:t>
            </w:r>
            <w:r w:rsidRPr="00270255">
              <w:rPr>
                <w:rFonts w:ascii="Times New Roman" w:hAnsi="Times New Roman"/>
                <w:sz w:val="24"/>
                <w:szCs w:val="24"/>
              </w:rPr>
              <w:t xml:space="preserve"> supplerende kapitalinstrumenter, som et institut kan være forpligtet til at købe i medfør af eksisterende kontraktlige forpligtelser</w:t>
            </w:r>
            <w:r w:rsidR="00AB2B16">
              <w:rPr>
                <w:rFonts w:ascii="Times New Roman" w:hAnsi="Times New Roman"/>
                <w:sz w:val="24"/>
                <w:szCs w:val="24"/>
              </w:rPr>
              <w:t>?</w:t>
            </w:r>
          </w:p>
          <w:p w14:paraId="6AEAB999" w14:textId="77777777" w:rsidR="006F2554" w:rsidRDefault="006F2554" w:rsidP="009B3C57">
            <w:pPr>
              <w:pStyle w:val="Brdtekst"/>
              <w:rPr>
                <w:rFonts w:ascii="Times New Roman" w:hAnsi="Times New Roman"/>
                <w:sz w:val="24"/>
                <w:szCs w:val="24"/>
              </w:rPr>
            </w:pPr>
          </w:p>
          <w:p w14:paraId="49DF015E" w14:textId="77777777" w:rsidR="000F1D6F" w:rsidRPr="00270255" w:rsidRDefault="000F1D6F" w:rsidP="009B3C57">
            <w:pPr>
              <w:pStyle w:val="Brdtekst"/>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14:paraId="0B444473" w14:textId="77777777" w:rsidR="009B3C57" w:rsidRPr="00270255" w:rsidRDefault="009B3C57" w:rsidP="009B3C57">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5502A653" w14:textId="77777777" w:rsidR="009B3C57" w:rsidRPr="00270255" w:rsidRDefault="009B3C57" w:rsidP="009B3C57"/>
        </w:tc>
        <w:tc>
          <w:tcPr>
            <w:tcW w:w="6946" w:type="dxa"/>
            <w:tcBorders>
              <w:top w:val="single" w:sz="4" w:space="0" w:color="000000"/>
              <w:left w:val="single" w:sz="4" w:space="0" w:color="000000"/>
              <w:bottom w:val="single" w:sz="4" w:space="0" w:color="000000"/>
            </w:tcBorders>
          </w:tcPr>
          <w:p w14:paraId="61B3A0FB" w14:textId="77777777" w:rsidR="009B3C57" w:rsidRPr="00270255" w:rsidRDefault="009B3C57" w:rsidP="009B3C57">
            <w:pPr>
              <w:snapToGrid w:val="0"/>
            </w:pPr>
            <w:r w:rsidRPr="00270255">
              <w:t>Redegørelse</w:t>
            </w:r>
          </w:p>
          <w:p w14:paraId="4333AD6D" w14:textId="77777777" w:rsidR="009B3C57" w:rsidRPr="00270255" w:rsidRDefault="009B3C57" w:rsidP="009B3C57">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30910C2F" w14:textId="77777777" w:rsidR="009B3C57" w:rsidRPr="00270255" w:rsidRDefault="009B3C57" w:rsidP="009B3C57">
            <w:pPr>
              <w:snapToGrid w:val="0"/>
            </w:pPr>
          </w:p>
        </w:tc>
        <w:tc>
          <w:tcPr>
            <w:tcW w:w="2268" w:type="dxa"/>
            <w:tcBorders>
              <w:top w:val="single" w:sz="4" w:space="0" w:color="000000"/>
              <w:left w:val="single" w:sz="4" w:space="0" w:color="000000"/>
              <w:bottom w:val="single" w:sz="4" w:space="0" w:color="000000"/>
              <w:right w:val="single" w:sz="4" w:space="0" w:color="000000"/>
            </w:tcBorders>
          </w:tcPr>
          <w:p w14:paraId="478D3BE5" w14:textId="77777777" w:rsidR="009B3C57" w:rsidRPr="00270255" w:rsidRDefault="009B3C57" w:rsidP="009B3C57">
            <w:pPr>
              <w:snapToGrid w:val="0"/>
            </w:pPr>
            <w:r w:rsidRPr="00270255">
              <w:t>Forbeholdt Finanstilsynet</w:t>
            </w:r>
          </w:p>
          <w:p w14:paraId="103F8B59" w14:textId="77777777" w:rsidR="009B3C57" w:rsidRPr="00270255" w:rsidRDefault="009B3C57" w:rsidP="009B3C57">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370D4A" w:rsidRPr="00270255" w14:paraId="43BDD8F3" w14:textId="77777777" w:rsidTr="009B3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000000"/>
              <w:left w:val="single" w:sz="4" w:space="0" w:color="000000"/>
              <w:bottom w:val="single" w:sz="4" w:space="0" w:color="000000"/>
            </w:tcBorders>
          </w:tcPr>
          <w:p w14:paraId="328B5296" w14:textId="77777777" w:rsidR="00370D4A" w:rsidRPr="00270255" w:rsidRDefault="00370D4A" w:rsidP="005122E5">
            <w:r w:rsidRPr="00270255">
              <w:rPr>
                <w:b/>
                <w:u w:val="single"/>
              </w:rPr>
              <w:lastRenderedPageBreak/>
              <w:t xml:space="preserve">Spørgsmål </w:t>
            </w:r>
            <w:r w:rsidR="00B54D5C">
              <w:rPr>
                <w:b/>
                <w:u w:val="single"/>
              </w:rPr>
              <w:t>10</w:t>
            </w:r>
            <w:r w:rsidRPr="00270255">
              <w:rPr>
                <w:b/>
                <w:u w:val="single"/>
              </w:rPr>
              <w:t>.2:</w:t>
            </w:r>
            <w:r w:rsidRPr="00270255">
              <w:t xml:space="preserve"> </w:t>
            </w:r>
          </w:p>
          <w:p w14:paraId="25EC1617" w14:textId="77777777" w:rsidR="000C4893" w:rsidRDefault="00370D4A" w:rsidP="006F2554">
            <w:pPr>
              <w:pStyle w:val="Brdtekst"/>
            </w:pPr>
            <w:r w:rsidRPr="00270255">
              <w:rPr>
                <w:rFonts w:ascii="Times New Roman" w:hAnsi="Times New Roman"/>
                <w:sz w:val="24"/>
                <w:szCs w:val="24"/>
              </w:rPr>
              <w:t>Art. 66, litra b -</w:t>
            </w:r>
            <w:r w:rsidR="000C4893" w:rsidRPr="00270255">
              <w:rPr>
                <w:rFonts w:ascii="Times New Roman" w:hAnsi="Times New Roman"/>
                <w:sz w:val="24"/>
                <w:szCs w:val="24"/>
              </w:rPr>
              <w:t xml:space="preserve"> </w:t>
            </w:r>
            <w:r w:rsidR="006F2554">
              <w:rPr>
                <w:rFonts w:ascii="Times New Roman" w:hAnsi="Times New Roman"/>
                <w:sz w:val="24"/>
                <w:szCs w:val="24"/>
              </w:rPr>
              <w:t>D</w:t>
            </w:r>
            <w:r w:rsidR="006F2554">
              <w:t xml:space="preserve">irekte, indirekte og syntetiske besiddelser af supplerende kapitalinstrumenter i enheder i den finansielle sektor. Er der besiddelser i krydsejerskab, </w:t>
            </w:r>
            <w:r w:rsidR="00891E98">
              <w:t xml:space="preserve">der er </w:t>
            </w:r>
            <w:r w:rsidR="006F2554">
              <w:t>indgået for kunstigt at øge instituttets kapitalgrundlag? I bekræftende fald hvilke?</w:t>
            </w:r>
          </w:p>
          <w:p w14:paraId="6D1842C6" w14:textId="77777777" w:rsidR="006F2554" w:rsidRDefault="006F2554" w:rsidP="006F2554">
            <w:pPr>
              <w:pStyle w:val="Brdtekst"/>
              <w:rPr>
                <w:rFonts w:ascii="Times New Roman" w:hAnsi="Times New Roman"/>
                <w:sz w:val="24"/>
                <w:szCs w:val="24"/>
              </w:rPr>
            </w:pPr>
          </w:p>
          <w:p w14:paraId="56C69EA3" w14:textId="77777777" w:rsidR="000F1D6F" w:rsidRPr="00270255" w:rsidRDefault="000F1D6F" w:rsidP="006F2554">
            <w:pPr>
              <w:pStyle w:val="Brdtekst"/>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14:paraId="1CC0C509" w14:textId="77777777" w:rsidR="00370D4A" w:rsidRPr="00270255" w:rsidRDefault="00370D4A" w:rsidP="005122E5">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2A539A60" w14:textId="77777777" w:rsidR="00370D4A" w:rsidRPr="00270255" w:rsidRDefault="00370D4A" w:rsidP="005122E5"/>
        </w:tc>
        <w:tc>
          <w:tcPr>
            <w:tcW w:w="6946" w:type="dxa"/>
            <w:tcBorders>
              <w:top w:val="single" w:sz="4" w:space="0" w:color="000000"/>
              <w:left w:val="single" w:sz="4" w:space="0" w:color="000000"/>
              <w:bottom w:val="single" w:sz="4" w:space="0" w:color="000000"/>
            </w:tcBorders>
          </w:tcPr>
          <w:p w14:paraId="64561FE0" w14:textId="77777777" w:rsidR="00370D4A" w:rsidRPr="00270255" w:rsidRDefault="00370D4A" w:rsidP="005122E5">
            <w:pPr>
              <w:snapToGrid w:val="0"/>
            </w:pPr>
            <w:r w:rsidRPr="00270255">
              <w:t>Redegørelse</w:t>
            </w:r>
          </w:p>
          <w:p w14:paraId="5711CDC2" w14:textId="77777777" w:rsidR="00370D4A" w:rsidRPr="00270255" w:rsidRDefault="00370D4A" w:rsidP="005122E5">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10F6F34" w14:textId="77777777" w:rsidR="00370D4A" w:rsidRPr="00270255" w:rsidRDefault="00370D4A" w:rsidP="005122E5">
            <w:pPr>
              <w:snapToGrid w:val="0"/>
            </w:pPr>
          </w:p>
        </w:tc>
        <w:tc>
          <w:tcPr>
            <w:tcW w:w="2268" w:type="dxa"/>
            <w:tcBorders>
              <w:top w:val="single" w:sz="4" w:space="0" w:color="000000"/>
              <w:left w:val="single" w:sz="4" w:space="0" w:color="000000"/>
              <w:bottom w:val="single" w:sz="4" w:space="0" w:color="000000"/>
              <w:right w:val="single" w:sz="4" w:space="0" w:color="000000"/>
            </w:tcBorders>
          </w:tcPr>
          <w:p w14:paraId="282A1507" w14:textId="77777777" w:rsidR="00370D4A" w:rsidRPr="00270255" w:rsidRDefault="00370D4A" w:rsidP="005122E5">
            <w:pPr>
              <w:snapToGrid w:val="0"/>
            </w:pPr>
            <w:r w:rsidRPr="00270255">
              <w:t>Forbeholdt Finanstilsynet</w:t>
            </w:r>
          </w:p>
          <w:p w14:paraId="71758009" w14:textId="77777777" w:rsidR="00370D4A" w:rsidRPr="00270255" w:rsidRDefault="00370D4A" w:rsidP="005122E5">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370D4A" w:rsidRPr="00270255" w14:paraId="15199702" w14:textId="77777777" w:rsidTr="009B3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000000"/>
              <w:left w:val="single" w:sz="4" w:space="0" w:color="000000"/>
              <w:bottom w:val="single" w:sz="4" w:space="0" w:color="000000"/>
            </w:tcBorders>
          </w:tcPr>
          <w:p w14:paraId="6538A988" w14:textId="77777777" w:rsidR="00370D4A" w:rsidRPr="00270255" w:rsidRDefault="00370D4A" w:rsidP="005122E5">
            <w:r w:rsidRPr="00270255">
              <w:rPr>
                <w:b/>
                <w:u w:val="single"/>
              </w:rPr>
              <w:t xml:space="preserve">Spørgsmål </w:t>
            </w:r>
            <w:r w:rsidR="00B54D5C">
              <w:rPr>
                <w:b/>
                <w:u w:val="single"/>
              </w:rPr>
              <w:t>10</w:t>
            </w:r>
            <w:r w:rsidRPr="00270255">
              <w:rPr>
                <w:b/>
                <w:u w:val="single"/>
              </w:rPr>
              <w:t>.3:</w:t>
            </w:r>
            <w:r w:rsidRPr="00270255">
              <w:t xml:space="preserve"> </w:t>
            </w:r>
          </w:p>
          <w:p w14:paraId="49CCBCA5" w14:textId="77777777" w:rsidR="00370D4A" w:rsidRPr="00270255" w:rsidRDefault="00370D4A" w:rsidP="006663E7">
            <w:pPr>
              <w:pStyle w:val="Brdtekst"/>
              <w:rPr>
                <w:rFonts w:ascii="Times New Roman" w:hAnsi="Times New Roman"/>
                <w:sz w:val="24"/>
                <w:szCs w:val="24"/>
              </w:rPr>
            </w:pPr>
            <w:r w:rsidRPr="00270255">
              <w:rPr>
                <w:rFonts w:ascii="Times New Roman" w:hAnsi="Times New Roman"/>
                <w:sz w:val="24"/>
                <w:szCs w:val="24"/>
              </w:rPr>
              <w:t xml:space="preserve">Art. 66, litra </w:t>
            </w:r>
            <w:r w:rsidR="006663E7" w:rsidRPr="00270255">
              <w:rPr>
                <w:rFonts w:ascii="Times New Roman" w:hAnsi="Times New Roman"/>
                <w:sz w:val="24"/>
                <w:szCs w:val="24"/>
              </w:rPr>
              <w:t>c</w:t>
            </w:r>
            <w:r w:rsidRPr="00270255">
              <w:rPr>
                <w:rFonts w:ascii="Times New Roman" w:hAnsi="Times New Roman"/>
                <w:sz w:val="24"/>
                <w:szCs w:val="24"/>
              </w:rPr>
              <w:t xml:space="preserve"> -</w:t>
            </w:r>
            <w:r w:rsidR="000C4893" w:rsidRPr="00270255">
              <w:rPr>
                <w:rFonts w:ascii="Times New Roman" w:hAnsi="Times New Roman"/>
                <w:sz w:val="24"/>
                <w:szCs w:val="24"/>
              </w:rPr>
              <w:t xml:space="preserve"> den relevante værdi opgjort i henholdt til artikel 70 af instituttets direkte, indirekte og syntetiske besiddelser af supplerende kapitalinstrumenter i enheder i den finansielle sektor, når instituttet </w:t>
            </w:r>
            <w:r w:rsidR="000C4893" w:rsidRPr="00270255">
              <w:rPr>
                <w:rFonts w:ascii="Times New Roman" w:hAnsi="Times New Roman"/>
                <w:i/>
                <w:sz w:val="24"/>
                <w:szCs w:val="24"/>
              </w:rPr>
              <w:t>ikke har en væsentlig</w:t>
            </w:r>
            <w:r w:rsidR="000C4893" w:rsidRPr="00270255">
              <w:rPr>
                <w:rFonts w:ascii="Times New Roman" w:hAnsi="Times New Roman"/>
                <w:sz w:val="24"/>
                <w:szCs w:val="24"/>
              </w:rPr>
              <w:t xml:space="preserve"> kapitalandel i disse enheder</w:t>
            </w:r>
            <w:r w:rsidR="00AB2B16">
              <w:rPr>
                <w:rFonts w:ascii="Times New Roman" w:hAnsi="Times New Roman"/>
                <w:sz w:val="24"/>
                <w:szCs w:val="24"/>
              </w:rPr>
              <w:t>?</w:t>
            </w:r>
          </w:p>
          <w:p w14:paraId="4E6DD18B" w14:textId="77777777" w:rsidR="000C4893" w:rsidRDefault="000C4893" w:rsidP="006663E7">
            <w:pPr>
              <w:pStyle w:val="Brdtekst"/>
              <w:rPr>
                <w:rFonts w:ascii="Times New Roman" w:hAnsi="Times New Roman"/>
                <w:sz w:val="24"/>
                <w:szCs w:val="24"/>
              </w:rPr>
            </w:pPr>
          </w:p>
          <w:p w14:paraId="660CA5E6" w14:textId="77777777" w:rsidR="000F1D6F" w:rsidRPr="00270255" w:rsidRDefault="000F1D6F" w:rsidP="006663E7">
            <w:pPr>
              <w:pStyle w:val="Brdtekst"/>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14:paraId="0E4551AF" w14:textId="77777777" w:rsidR="00370D4A" w:rsidRPr="00270255" w:rsidRDefault="00370D4A" w:rsidP="005122E5">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145B53FC" w14:textId="77777777" w:rsidR="00370D4A" w:rsidRPr="00270255" w:rsidRDefault="00370D4A" w:rsidP="005122E5"/>
        </w:tc>
        <w:tc>
          <w:tcPr>
            <w:tcW w:w="6946" w:type="dxa"/>
            <w:tcBorders>
              <w:top w:val="single" w:sz="4" w:space="0" w:color="000000"/>
              <w:left w:val="single" w:sz="4" w:space="0" w:color="000000"/>
              <w:bottom w:val="single" w:sz="4" w:space="0" w:color="000000"/>
            </w:tcBorders>
          </w:tcPr>
          <w:p w14:paraId="0EB1A0E0" w14:textId="77777777" w:rsidR="00370D4A" w:rsidRPr="00270255" w:rsidRDefault="00370D4A" w:rsidP="005122E5">
            <w:pPr>
              <w:snapToGrid w:val="0"/>
            </w:pPr>
            <w:r w:rsidRPr="00270255">
              <w:t>Redegørelse</w:t>
            </w:r>
          </w:p>
          <w:p w14:paraId="4F7558F0" w14:textId="77777777" w:rsidR="00370D4A" w:rsidRPr="00270255" w:rsidRDefault="00370D4A" w:rsidP="005122E5">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3E1C56E" w14:textId="77777777" w:rsidR="00370D4A" w:rsidRPr="00270255" w:rsidRDefault="00370D4A" w:rsidP="005122E5">
            <w:pPr>
              <w:snapToGrid w:val="0"/>
            </w:pPr>
          </w:p>
        </w:tc>
        <w:tc>
          <w:tcPr>
            <w:tcW w:w="2268" w:type="dxa"/>
            <w:tcBorders>
              <w:top w:val="single" w:sz="4" w:space="0" w:color="000000"/>
              <w:left w:val="single" w:sz="4" w:space="0" w:color="000000"/>
              <w:bottom w:val="single" w:sz="4" w:space="0" w:color="000000"/>
              <w:right w:val="single" w:sz="4" w:space="0" w:color="000000"/>
            </w:tcBorders>
          </w:tcPr>
          <w:p w14:paraId="675FE96C" w14:textId="77777777" w:rsidR="00370D4A" w:rsidRPr="00270255" w:rsidRDefault="00370D4A" w:rsidP="005122E5">
            <w:pPr>
              <w:snapToGrid w:val="0"/>
            </w:pPr>
            <w:r w:rsidRPr="00270255">
              <w:t>Forbeholdt Finanstilsynet</w:t>
            </w:r>
          </w:p>
          <w:p w14:paraId="658AB39E" w14:textId="77777777" w:rsidR="00370D4A" w:rsidRPr="00270255" w:rsidRDefault="00370D4A" w:rsidP="005122E5">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370D4A" w:rsidRPr="00270255" w14:paraId="1D70A0EB" w14:textId="77777777" w:rsidTr="009B3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000000"/>
              <w:left w:val="single" w:sz="4" w:space="0" w:color="000000"/>
              <w:bottom w:val="single" w:sz="4" w:space="0" w:color="000000"/>
            </w:tcBorders>
          </w:tcPr>
          <w:p w14:paraId="11C2DCB4" w14:textId="77777777" w:rsidR="00370D4A" w:rsidRPr="00270255" w:rsidRDefault="00370D4A" w:rsidP="005122E5">
            <w:r w:rsidRPr="00270255">
              <w:rPr>
                <w:b/>
                <w:u w:val="single"/>
              </w:rPr>
              <w:t xml:space="preserve">Spørgsmål </w:t>
            </w:r>
            <w:r w:rsidR="00B54D5C">
              <w:rPr>
                <w:b/>
                <w:u w:val="single"/>
              </w:rPr>
              <w:t>10</w:t>
            </w:r>
            <w:r w:rsidRPr="00270255">
              <w:rPr>
                <w:b/>
                <w:u w:val="single"/>
              </w:rPr>
              <w:t>.4:</w:t>
            </w:r>
            <w:r w:rsidRPr="00270255">
              <w:t xml:space="preserve"> </w:t>
            </w:r>
          </w:p>
          <w:p w14:paraId="7B99A8F9" w14:textId="77777777" w:rsidR="00370D4A" w:rsidRDefault="00370D4A" w:rsidP="006663E7">
            <w:pPr>
              <w:pStyle w:val="Brdtekst"/>
              <w:rPr>
                <w:rFonts w:ascii="Times New Roman" w:hAnsi="Times New Roman"/>
                <w:sz w:val="24"/>
                <w:szCs w:val="24"/>
              </w:rPr>
            </w:pPr>
            <w:r w:rsidRPr="00270255">
              <w:rPr>
                <w:rFonts w:ascii="Times New Roman" w:hAnsi="Times New Roman"/>
                <w:sz w:val="24"/>
                <w:szCs w:val="24"/>
              </w:rPr>
              <w:t xml:space="preserve">Art. 66, litra </w:t>
            </w:r>
            <w:r w:rsidR="006663E7" w:rsidRPr="00270255">
              <w:rPr>
                <w:rFonts w:ascii="Times New Roman" w:hAnsi="Times New Roman"/>
                <w:sz w:val="24"/>
                <w:szCs w:val="24"/>
              </w:rPr>
              <w:t>d</w:t>
            </w:r>
            <w:r w:rsidRPr="00270255">
              <w:rPr>
                <w:rFonts w:ascii="Times New Roman" w:hAnsi="Times New Roman"/>
                <w:sz w:val="24"/>
                <w:szCs w:val="24"/>
              </w:rPr>
              <w:t xml:space="preserve"> -</w:t>
            </w:r>
            <w:r w:rsidR="000C4893" w:rsidRPr="00270255">
              <w:rPr>
                <w:rFonts w:ascii="Times New Roman" w:hAnsi="Times New Roman"/>
                <w:sz w:val="24"/>
                <w:szCs w:val="24"/>
              </w:rPr>
              <w:t xml:space="preserve"> instituttets direkte, indirekte og syntetiske besiddelser af supplerende kapitalinstrumenter i enheder i den finansielle sektor, når instituttet </w:t>
            </w:r>
            <w:r w:rsidR="000C4893" w:rsidRPr="00270255">
              <w:rPr>
                <w:rFonts w:ascii="Times New Roman" w:hAnsi="Times New Roman"/>
                <w:i/>
                <w:sz w:val="24"/>
                <w:szCs w:val="24"/>
              </w:rPr>
              <w:t>har en væsentlig</w:t>
            </w:r>
            <w:r w:rsidR="000C4893" w:rsidRPr="00270255">
              <w:rPr>
                <w:rFonts w:ascii="Times New Roman" w:hAnsi="Times New Roman"/>
                <w:sz w:val="24"/>
                <w:szCs w:val="24"/>
              </w:rPr>
              <w:t xml:space="preserve"> kapitalandel i disse enheder, undtagen emissionspositioner, der besiddes i højst fem arbejdsdage</w:t>
            </w:r>
            <w:r w:rsidR="00AB2B16">
              <w:rPr>
                <w:rFonts w:ascii="Times New Roman" w:hAnsi="Times New Roman"/>
                <w:sz w:val="24"/>
                <w:szCs w:val="24"/>
              </w:rPr>
              <w:t>?</w:t>
            </w:r>
          </w:p>
          <w:p w14:paraId="50F45284" w14:textId="77777777" w:rsidR="000F1D6F" w:rsidRPr="00270255" w:rsidRDefault="000F1D6F" w:rsidP="006663E7">
            <w:pPr>
              <w:pStyle w:val="Brdtekst"/>
              <w:rPr>
                <w:rFonts w:ascii="Times New Roman" w:hAnsi="Times New Roman"/>
                <w:sz w:val="24"/>
                <w:szCs w:val="24"/>
              </w:rPr>
            </w:pPr>
          </w:p>
          <w:p w14:paraId="480E67BF" w14:textId="77777777" w:rsidR="000C4893" w:rsidRPr="00270255" w:rsidRDefault="000C4893" w:rsidP="006663E7">
            <w:pPr>
              <w:pStyle w:val="Brdtekst"/>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14:paraId="6BAEE366" w14:textId="77777777" w:rsidR="00370D4A" w:rsidRPr="00270255" w:rsidRDefault="00370D4A" w:rsidP="005122E5">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2F56B82B" w14:textId="77777777" w:rsidR="00370D4A" w:rsidRPr="00270255" w:rsidRDefault="00370D4A" w:rsidP="005122E5"/>
        </w:tc>
        <w:tc>
          <w:tcPr>
            <w:tcW w:w="6946" w:type="dxa"/>
            <w:tcBorders>
              <w:top w:val="single" w:sz="4" w:space="0" w:color="000000"/>
              <w:left w:val="single" w:sz="4" w:space="0" w:color="000000"/>
              <w:bottom w:val="single" w:sz="4" w:space="0" w:color="000000"/>
            </w:tcBorders>
          </w:tcPr>
          <w:p w14:paraId="2CE403B1" w14:textId="77777777" w:rsidR="00370D4A" w:rsidRPr="00270255" w:rsidRDefault="00370D4A" w:rsidP="005122E5">
            <w:pPr>
              <w:snapToGrid w:val="0"/>
            </w:pPr>
            <w:r w:rsidRPr="00270255">
              <w:t>Redegørelse</w:t>
            </w:r>
          </w:p>
          <w:p w14:paraId="426E6E60" w14:textId="77777777" w:rsidR="00370D4A" w:rsidRPr="00270255" w:rsidRDefault="00370D4A" w:rsidP="005122E5">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218D20E2" w14:textId="77777777" w:rsidR="00370D4A" w:rsidRPr="00270255" w:rsidRDefault="00370D4A" w:rsidP="005122E5">
            <w:pPr>
              <w:snapToGrid w:val="0"/>
            </w:pPr>
          </w:p>
        </w:tc>
        <w:tc>
          <w:tcPr>
            <w:tcW w:w="2268" w:type="dxa"/>
            <w:tcBorders>
              <w:top w:val="single" w:sz="4" w:space="0" w:color="000000"/>
              <w:left w:val="single" w:sz="4" w:space="0" w:color="000000"/>
              <w:bottom w:val="single" w:sz="4" w:space="0" w:color="000000"/>
              <w:right w:val="single" w:sz="4" w:space="0" w:color="000000"/>
            </w:tcBorders>
          </w:tcPr>
          <w:p w14:paraId="3E3346EF" w14:textId="77777777" w:rsidR="00370D4A" w:rsidRPr="00270255" w:rsidRDefault="00370D4A" w:rsidP="005122E5">
            <w:pPr>
              <w:snapToGrid w:val="0"/>
            </w:pPr>
            <w:r w:rsidRPr="00270255">
              <w:t>Forbeholdt Finanstilsynet</w:t>
            </w:r>
          </w:p>
          <w:p w14:paraId="50350794" w14:textId="77777777" w:rsidR="00370D4A" w:rsidRPr="00270255" w:rsidRDefault="00370D4A" w:rsidP="005122E5">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D116A2" w:rsidRPr="00270255" w14:paraId="4EE36DC8" w14:textId="77777777" w:rsidTr="00907A1A">
        <w:tc>
          <w:tcPr>
            <w:tcW w:w="13609" w:type="dxa"/>
            <w:gridSpan w:val="4"/>
          </w:tcPr>
          <w:p w14:paraId="6B9A075B" w14:textId="77777777" w:rsidR="00D116A2" w:rsidRDefault="00D116A2" w:rsidP="00DB0A06">
            <w:pPr>
              <w:pStyle w:val="Overskrift1"/>
              <w:numPr>
                <w:ilvl w:val="0"/>
                <w:numId w:val="2"/>
              </w:numPr>
              <w:rPr>
                <w:rFonts w:cs="Times New Roman"/>
              </w:rPr>
            </w:pPr>
            <w:r w:rsidRPr="00270255">
              <w:rPr>
                <w:rFonts w:cs="Times New Roman"/>
              </w:rPr>
              <w:lastRenderedPageBreak/>
              <w:t xml:space="preserve">Overgangsbestemmelser - egentlig kernekapital </w:t>
            </w:r>
          </w:p>
          <w:p w14:paraId="0F190BB9" w14:textId="77777777" w:rsidR="00DB0A06" w:rsidRPr="00DB0A06" w:rsidRDefault="00DB0A06" w:rsidP="00DB0A06"/>
        </w:tc>
      </w:tr>
      <w:tr w:rsidR="00D116A2" w:rsidRPr="00270255" w14:paraId="16DB0807" w14:textId="77777777" w:rsidTr="00907A1A">
        <w:tc>
          <w:tcPr>
            <w:tcW w:w="13609" w:type="dxa"/>
            <w:gridSpan w:val="4"/>
          </w:tcPr>
          <w:p w14:paraId="05F766A1" w14:textId="77777777" w:rsidR="00DB0A06" w:rsidRDefault="00DB0A06" w:rsidP="00AA4DE1">
            <w:pPr>
              <w:snapToGrid w:val="0"/>
            </w:pPr>
          </w:p>
          <w:p w14:paraId="7F28E136" w14:textId="77777777" w:rsidR="00D116A2" w:rsidRPr="00270255" w:rsidRDefault="00AA4DE1" w:rsidP="00AA4DE1">
            <w:pPr>
              <w:snapToGrid w:val="0"/>
            </w:pPr>
            <w:r w:rsidRPr="00270255">
              <w:t xml:space="preserve">I flg. CRR, artikel 484 kvalificerer instrumenter og poster, der er udstedt eller var anerkendt som egenkapital før den 31. december 2011 og som ikke </w:t>
            </w:r>
            <w:r w:rsidR="00336D35" w:rsidRPr="00270255">
              <w:t xml:space="preserve">er </w:t>
            </w:r>
            <w:r w:rsidRPr="00270255">
              <w:t xml:space="preserve">udstedt i overensstemmelse med statsstøttereglerne, som egentlig kernekapital inden for de fastsatte grænser i artikel 485 </w:t>
            </w:r>
            <w:r w:rsidR="004C2186" w:rsidRPr="00270255">
              <w:t>og 486, uanset at kapitalen ikke opfylder betingelserne i artikel 28 og artikel 29.</w:t>
            </w:r>
          </w:p>
          <w:p w14:paraId="5E54D3B2" w14:textId="77777777" w:rsidR="00C0633D" w:rsidRPr="00270255" w:rsidRDefault="00C0633D" w:rsidP="00AA4DE1">
            <w:pPr>
              <w:snapToGrid w:val="0"/>
            </w:pPr>
          </w:p>
          <w:p w14:paraId="774A2FE6" w14:textId="77777777" w:rsidR="00C0633D" w:rsidRPr="00270255" w:rsidRDefault="00AA4DE1" w:rsidP="00C0633D">
            <w:pPr>
              <w:snapToGrid w:val="0"/>
            </w:pPr>
            <w:r w:rsidRPr="00270255">
              <w:t xml:space="preserve">Ifølge artikel 485 betragtes overkurs ved emission i forbindelse med kapitalinstrumenter udstedt før 31. december 2010 som egentlig kernekapital, såfremt betingelserne i artikel 28, litra </w:t>
            </w:r>
            <w:r w:rsidR="00C960FE" w:rsidRPr="00270255">
              <w:t>i</w:t>
            </w:r>
            <w:r w:rsidRPr="00270255">
              <w:t xml:space="preserve"> og j er opfyldt. Be</w:t>
            </w:r>
            <w:r w:rsidR="00C960FE" w:rsidRPr="00270255">
              <w:t>tingelserne</w:t>
            </w:r>
            <w:r w:rsidRPr="00270255">
              <w:t xml:space="preserve"> i artikel 28</w:t>
            </w:r>
            <w:r w:rsidR="00C960FE" w:rsidRPr="00270255">
              <w:t>, litra i og j stiller krav om, at kapitalen dækker</w:t>
            </w:r>
            <w:r w:rsidR="00C0633D" w:rsidRPr="00270255">
              <w:t xml:space="preserve"> den første og forholdsmæssigt største andel af tab, efterhånden som de opstår, samt at kapitalen er efterstillet de øvrige fordringer i tilfælde af instituttet</w:t>
            </w:r>
            <w:r w:rsidR="0016414F">
              <w:t>s</w:t>
            </w:r>
            <w:r w:rsidR="00C0633D" w:rsidRPr="00270255">
              <w:t xml:space="preserve"> insolvens </w:t>
            </w:r>
            <w:r w:rsidR="0016414F">
              <w:t>eller</w:t>
            </w:r>
            <w:r w:rsidR="00C0633D" w:rsidRPr="00270255">
              <w:t xml:space="preserve"> likvidation.</w:t>
            </w:r>
          </w:p>
          <w:p w14:paraId="741C7B65" w14:textId="77777777" w:rsidR="00C0633D" w:rsidRPr="00270255" w:rsidRDefault="00C0633D" w:rsidP="00C0633D">
            <w:pPr>
              <w:snapToGrid w:val="0"/>
            </w:pPr>
          </w:p>
          <w:p w14:paraId="03B6C0D0" w14:textId="77777777" w:rsidR="00336D35" w:rsidRPr="00270255" w:rsidRDefault="0054694A" w:rsidP="00336D35">
            <w:pPr>
              <w:snapToGrid w:val="0"/>
            </w:pPr>
            <w:r w:rsidRPr="00270255">
              <w:t>Jf. a</w:t>
            </w:r>
            <w:r w:rsidR="00C0633D" w:rsidRPr="00270255">
              <w:t xml:space="preserve">rtikel 486 </w:t>
            </w:r>
            <w:r w:rsidR="00336D35" w:rsidRPr="00270255">
              <w:t xml:space="preserve">nedtrappes værdien af </w:t>
            </w:r>
            <w:r w:rsidR="00C0633D" w:rsidRPr="00270255">
              <w:t>kapital</w:t>
            </w:r>
            <w:r w:rsidR="00F55708" w:rsidRPr="00270255">
              <w:t>poster</w:t>
            </w:r>
            <w:r w:rsidR="00336D35" w:rsidRPr="00270255">
              <w:t>ne</w:t>
            </w:r>
            <w:r w:rsidR="00C0633D" w:rsidRPr="00270255">
              <w:t xml:space="preserve"> iflg. artikel 484 </w:t>
            </w:r>
            <w:r w:rsidR="00336D35" w:rsidRPr="00270255">
              <w:t>frem til 2022, hvor de ikke længere kan medregnes i kapitalgrundlaget.</w:t>
            </w:r>
          </w:p>
          <w:p w14:paraId="150FAD6D" w14:textId="77777777" w:rsidR="00336D35" w:rsidRPr="00270255" w:rsidRDefault="00336D35" w:rsidP="00336D35">
            <w:pPr>
              <w:snapToGrid w:val="0"/>
            </w:pPr>
          </w:p>
          <w:p w14:paraId="157CFB7A" w14:textId="77777777" w:rsidR="006A5FE0" w:rsidRPr="00270255" w:rsidRDefault="006A5FE0" w:rsidP="006A5FE0">
            <w:pPr>
              <w:snapToGrid w:val="0"/>
            </w:pPr>
            <w:r w:rsidRPr="00270255">
              <w:t>I Danmark nedtrappes værdien med 10 procentpoint hvert år startende med 80 pct. i 2014, jf. overgangsbekendtgørelsen</w:t>
            </w:r>
            <w:r w:rsidR="009F09C3">
              <w:t>s § 8</w:t>
            </w:r>
            <w:r w:rsidRPr="00270255">
              <w:t>.</w:t>
            </w:r>
          </w:p>
          <w:p w14:paraId="76C838BB" w14:textId="77777777" w:rsidR="00FA1A19" w:rsidRPr="00270255" w:rsidRDefault="00FA1A19" w:rsidP="006A5FE0">
            <w:pPr>
              <w:snapToGrid w:val="0"/>
            </w:pPr>
          </w:p>
          <w:p w14:paraId="7A354DB9" w14:textId="77777777" w:rsidR="00FA1A19" w:rsidRDefault="00FA1A19" w:rsidP="006A5FE0">
            <w:pPr>
              <w:snapToGrid w:val="0"/>
            </w:pPr>
            <w:r w:rsidRPr="00270255">
              <w:t>Artikel 483 regulerer overgangsbestemmelser for kapitalinstrumenter, der udgør statsstøtte.</w:t>
            </w:r>
          </w:p>
          <w:p w14:paraId="69F3B2B5" w14:textId="77777777" w:rsidR="00DB0A06" w:rsidRDefault="00DB0A06" w:rsidP="006A5FE0">
            <w:pPr>
              <w:snapToGrid w:val="0"/>
            </w:pPr>
          </w:p>
          <w:p w14:paraId="451BB760" w14:textId="77777777" w:rsidR="00AA4DE1" w:rsidRDefault="00F55708" w:rsidP="002C21F1">
            <w:pPr>
              <w:snapToGrid w:val="0"/>
            </w:pPr>
            <w:r w:rsidRPr="00270255">
              <w:t xml:space="preserve"> </w:t>
            </w:r>
            <w:r w:rsidR="00C0633D" w:rsidRPr="00270255">
              <w:t xml:space="preserve">    </w:t>
            </w:r>
            <w:r w:rsidR="00C960FE" w:rsidRPr="00270255">
              <w:t xml:space="preserve"> </w:t>
            </w:r>
            <w:r w:rsidR="00AA4DE1" w:rsidRPr="00270255">
              <w:t xml:space="preserve"> </w:t>
            </w:r>
          </w:p>
          <w:p w14:paraId="5356ADBF" w14:textId="77777777" w:rsidR="00855188" w:rsidRDefault="00855188" w:rsidP="002C21F1">
            <w:pPr>
              <w:snapToGrid w:val="0"/>
            </w:pPr>
          </w:p>
          <w:p w14:paraId="3F546A5A" w14:textId="77777777" w:rsidR="00855188" w:rsidRDefault="00855188" w:rsidP="002C21F1">
            <w:pPr>
              <w:snapToGrid w:val="0"/>
            </w:pPr>
          </w:p>
          <w:p w14:paraId="2480E31A" w14:textId="77777777" w:rsidR="00855188" w:rsidRDefault="00855188" w:rsidP="002C21F1">
            <w:pPr>
              <w:snapToGrid w:val="0"/>
            </w:pPr>
          </w:p>
          <w:p w14:paraId="7F951F34" w14:textId="77777777" w:rsidR="00855188" w:rsidRPr="00270255" w:rsidRDefault="00855188" w:rsidP="002C21F1">
            <w:pPr>
              <w:snapToGrid w:val="0"/>
            </w:pPr>
          </w:p>
        </w:tc>
      </w:tr>
      <w:tr w:rsidR="00A93AF9" w:rsidRPr="00270255" w14:paraId="36C97F89" w14:textId="77777777" w:rsidTr="00907A1A">
        <w:tc>
          <w:tcPr>
            <w:tcW w:w="3544" w:type="dxa"/>
          </w:tcPr>
          <w:p w14:paraId="6BCFAB03" w14:textId="77777777" w:rsidR="00A93AF9" w:rsidRPr="00270255" w:rsidRDefault="00A93AF9" w:rsidP="00A93AF9">
            <w:pPr>
              <w:rPr>
                <w:b/>
                <w:u w:val="single"/>
              </w:rPr>
            </w:pPr>
            <w:r w:rsidRPr="00270255">
              <w:rPr>
                <w:b/>
                <w:u w:val="single"/>
              </w:rPr>
              <w:t>Spørgsmål 1</w:t>
            </w:r>
            <w:r>
              <w:rPr>
                <w:b/>
                <w:u w:val="single"/>
              </w:rPr>
              <w:t>1</w:t>
            </w:r>
            <w:r w:rsidRPr="00270255">
              <w:rPr>
                <w:b/>
                <w:u w:val="single"/>
              </w:rPr>
              <w:t>.1:</w:t>
            </w:r>
          </w:p>
          <w:p w14:paraId="18E09451" w14:textId="77777777" w:rsidR="00A93AF9" w:rsidRDefault="00A93AF9" w:rsidP="00A93AF9">
            <w:r>
              <w:t>Har instituttet kapitalposter, som medregnes</w:t>
            </w:r>
            <w:r w:rsidRPr="00270255">
              <w:t xml:space="preserve"> i henhold til overgangsbestemmelserne i artikel 484 i sin egentlige kernekapital?</w:t>
            </w:r>
          </w:p>
          <w:p w14:paraId="7AA6B593" w14:textId="77777777" w:rsidR="000F1D6F" w:rsidRPr="00270255" w:rsidRDefault="000F1D6F" w:rsidP="00A93AF9"/>
          <w:p w14:paraId="6890B38C" w14:textId="77777777" w:rsidR="00A93AF9" w:rsidRDefault="00A93AF9" w:rsidP="00A93AF9"/>
          <w:p w14:paraId="1244F879" w14:textId="77777777" w:rsidR="00E83994" w:rsidRDefault="00E83994" w:rsidP="00A93AF9"/>
          <w:p w14:paraId="7AFD0209" w14:textId="77777777" w:rsidR="00E83994" w:rsidRDefault="00E83994" w:rsidP="00A93AF9"/>
          <w:p w14:paraId="5744096E" w14:textId="77777777" w:rsidR="00855188" w:rsidRPr="00270255" w:rsidRDefault="00855188" w:rsidP="00A93AF9"/>
        </w:tc>
        <w:tc>
          <w:tcPr>
            <w:tcW w:w="851" w:type="dxa"/>
          </w:tcPr>
          <w:p w14:paraId="682AAC08" w14:textId="77777777" w:rsidR="00A93AF9" w:rsidRPr="00270255" w:rsidRDefault="00A93AF9" w:rsidP="00A93AF9">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48169E66" w14:textId="77777777" w:rsidR="00A93AF9" w:rsidRPr="00270255" w:rsidRDefault="00A93AF9" w:rsidP="00A93AF9"/>
        </w:tc>
        <w:tc>
          <w:tcPr>
            <w:tcW w:w="6946" w:type="dxa"/>
          </w:tcPr>
          <w:p w14:paraId="26C793AF" w14:textId="77777777" w:rsidR="00A93AF9" w:rsidRPr="00270255" w:rsidRDefault="00A93AF9" w:rsidP="00A93AF9">
            <w:pPr>
              <w:snapToGrid w:val="0"/>
            </w:pPr>
            <w:r w:rsidRPr="00270255">
              <w:t>Redegørelse</w:t>
            </w:r>
          </w:p>
          <w:p w14:paraId="5179783D" w14:textId="77777777" w:rsidR="00A93AF9" w:rsidRPr="00270255" w:rsidRDefault="00A93AF9" w:rsidP="00A93AF9">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3C06A9EE" w14:textId="77777777" w:rsidR="00A93AF9" w:rsidRPr="00270255" w:rsidRDefault="00A93AF9" w:rsidP="00A93AF9">
            <w:pPr>
              <w:snapToGrid w:val="0"/>
            </w:pPr>
          </w:p>
        </w:tc>
        <w:tc>
          <w:tcPr>
            <w:tcW w:w="2268" w:type="dxa"/>
          </w:tcPr>
          <w:p w14:paraId="66B1ED45" w14:textId="77777777" w:rsidR="00A93AF9" w:rsidRPr="00270255" w:rsidRDefault="00A93AF9" w:rsidP="00A93AF9">
            <w:pPr>
              <w:snapToGrid w:val="0"/>
            </w:pPr>
            <w:r w:rsidRPr="00270255">
              <w:t>Forbeholdt Finanstilsynet</w:t>
            </w:r>
          </w:p>
          <w:p w14:paraId="52E859CA" w14:textId="77777777" w:rsidR="00A93AF9" w:rsidRPr="00270255" w:rsidRDefault="00A93AF9" w:rsidP="00A93AF9">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A93AF9" w:rsidRPr="00270255" w14:paraId="2AB5FAA2" w14:textId="77777777" w:rsidTr="00FB3F2C">
        <w:tc>
          <w:tcPr>
            <w:tcW w:w="13609" w:type="dxa"/>
            <w:gridSpan w:val="4"/>
          </w:tcPr>
          <w:p w14:paraId="6B2E8CD9" w14:textId="77777777" w:rsidR="00855188" w:rsidRPr="00855188" w:rsidRDefault="00A93AF9" w:rsidP="00A93AF9">
            <w:pPr>
              <w:snapToGrid w:val="0"/>
              <w:rPr>
                <w:b/>
                <w:i/>
              </w:rPr>
            </w:pPr>
            <w:r w:rsidRPr="00855188">
              <w:rPr>
                <w:b/>
                <w:i/>
              </w:rPr>
              <w:lastRenderedPageBreak/>
              <w:t>IFRS 9</w:t>
            </w:r>
            <w:r w:rsidR="00E16BD8" w:rsidRPr="00855188">
              <w:rPr>
                <w:b/>
                <w:i/>
              </w:rPr>
              <w:t xml:space="preserve"> </w:t>
            </w:r>
          </w:p>
          <w:p w14:paraId="73DE581D" w14:textId="77777777" w:rsidR="00A93AF9" w:rsidRPr="00855188" w:rsidRDefault="00E16BD8" w:rsidP="00A93AF9">
            <w:pPr>
              <w:snapToGrid w:val="0"/>
              <w:rPr>
                <w:b/>
                <w:i/>
              </w:rPr>
            </w:pPr>
            <w:r w:rsidRPr="00855188">
              <w:rPr>
                <w:b/>
                <w:i/>
              </w:rPr>
              <w:t xml:space="preserve">(Hvis instituttet har truffet beslutning om </w:t>
            </w:r>
            <w:r w:rsidR="00C51239" w:rsidRPr="00C51239">
              <w:rPr>
                <w:b/>
                <w:i/>
                <w:u w:val="single"/>
              </w:rPr>
              <w:t>ikke</w:t>
            </w:r>
            <w:r w:rsidR="00C51239">
              <w:rPr>
                <w:b/>
                <w:i/>
              </w:rPr>
              <w:t xml:space="preserve"> </w:t>
            </w:r>
            <w:r w:rsidRPr="00855188">
              <w:rPr>
                <w:b/>
                <w:i/>
              </w:rPr>
              <w:t>at anvende overgangsordningen for effekten af IFRS 9 på kapitalgrundlaget</w:t>
            </w:r>
            <w:r w:rsidR="00AD18BA" w:rsidRPr="00855188">
              <w:rPr>
                <w:b/>
                <w:i/>
              </w:rPr>
              <w:t>, jf. CRR artikel 473a</w:t>
            </w:r>
            <w:r w:rsidRPr="00855188">
              <w:rPr>
                <w:b/>
                <w:i/>
              </w:rPr>
              <w:t>, skal spørgsmål 11.</w:t>
            </w:r>
            <w:r w:rsidR="00333453" w:rsidRPr="00855188">
              <w:rPr>
                <w:b/>
                <w:i/>
              </w:rPr>
              <w:t xml:space="preserve">4 og spørgsmål </w:t>
            </w:r>
            <w:r w:rsidRPr="00855188">
              <w:rPr>
                <w:b/>
                <w:i/>
              </w:rPr>
              <w:t>11</w:t>
            </w:r>
            <w:r w:rsidR="00AD18BA" w:rsidRPr="00855188">
              <w:rPr>
                <w:b/>
                <w:i/>
              </w:rPr>
              <w:t>.5 ikke besvares)</w:t>
            </w:r>
          </w:p>
          <w:p w14:paraId="33E75755" w14:textId="77777777" w:rsidR="00855188" w:rsidRPr="00855188" w:rsidRDefault="00855188" w:rsidP="00FB3F2C">
            <w:pPr>
              <w:snapToGrid w:val="0"/>
              <w:rPr>
                <w:i/>
              </w:rPr>
            </w:pPr>
          </w:p>
          <w:p w14:paraId="4D0E2907" w14:textId="77777777" w:rsidR="00FB3F2C" w:rsidRPr="00855188" w:rsidRDefault="00FB3F2C" w:rsidP="00FB3F2C">
            <w:pPr>
              <w:snapToGrid w:val="0"/>
              <w:rPr>
                <w:i/>
              </w:rPr>
            </w:pPr>
            <w:r w:rsidRPr="00855188">
              <w:rPr>
                <w:i/>
              </w:rPr>
              <w:t xml:space="preserve">For at afbøde den potentielle negative virkning på institutternes kapitalgrundlag af implementeringen af IFRS 9 har EU vedtaget en overgangsordning i EU forordning nr. 2395/2017 om ændring af EU Forordning nr. 575/2013 om tilsynsmæssige krav til kreditinstitutter og investeringsselskaber (CRR) og indsat artikel 473a. </w:t>
            </w:r>
          </w:p>
          <w:p w14:paraId="3348C085" w14:textId="77777777" w:rsidR="00B75A05" w:rsidRPr="00855188" w:rsidRDefault="00B75A05" w:rsidP="00855188">
            <w:pPr>
              <w:pStyle w:val="ti-art"/>
              <w:jc w:val="left"/>
              <w:rPr>
                <w:color w:val="000000"/>
              </w:rPr>
            </w:pPr>
            <w:r w:rsidRPr="00855188">
              <w:rPr>
                <w:color w:val="000000"/>
              </w:rPr>
              <w:t>Artikel 473a Indførelse af IFRS 9</w:t>
            </w:r>
          </w:p>
          <w:p w14:paraId="090E7308" w14:textId="77777777" w:rsidR="00AD18BA" w:rsidRPr="00855188" w:rsidRDefault="00AD18BA" w:rsidP="00AD18BA">
            <w:pPr>
              <w:pStyle w:val="Normal1"/>
              <w:rPr>
                <w:i/>
                <w:color w:val="000000"/>
              </w:rPr>
            </w:pPr>
            <w:r w:rsidRPr="00855188">
              <w:rPr>
                <w:i/>
                <w:color w:val="000000"/>
              </w:rPr>
              <w:t>1.   Uanset artikel 50 og indtil udgangen af den overgangsperiode, der er fastsat i nærværende artikels stk. 6, kan følgende institutter indregne beløbet beregnet i overensstemmelse med nærværende stykke i deres egentlige kernekapital:</w:t>
            </w:r>
          </w:p>
          <w:tbl>
            <w:tblPr>
              <w:tblW w:w="5000" w:type="pct"/>
              <w:tblCellSpacing w:w="0" w:type="dxa"/>
              <w:tblLayout w:type="fixed"/>
              <w:tblCellMar>
                <w:left w:w="0" w:type="dxa"/>
                <w:right w:w="0" w:type="dxa"/>
              </w:tblCellMar>
              <w:tblLook w:val="04A0" w:firstRow="1" w:lastRow="0" w:firstColumn="1" w:lastColumn="0" w:noHBand="0" w:noVBand="1"/>
            </w:tblPr>
            <w:tblGrid>
              <w:gridCol w:w="251"/>
              <w:gridCol w:w="13142"/>
            </w:tblGrid>
            <w:tr w:rsidR="00AD18BA" w:rsidRPr="00855188" w14:paraId="54BCCB33" w14:textId="77777777">
              <w:trPr>
                <w:tblCellSpacing w:w="0" w:type="dxa"/>
              </w:trPr>
              <w:tc>
                <w:tcPr>
                  <w:tcW w:w="187" w:type="dxa"/>
                  <w:hideMark/>
                </w:tcPr>
                <w:p w14:paraId="0A5F9CAD" w14:textId="77777777" w:rsidR="00AD18BA" w:rsidRPr="00855188" w:rsidRDefault="00AD18BA" w:rsidP="00AD18BA">
                  <w:pPr>
                    <w:pStyle w:val="Normal1"/>
                    <w:rPr>
                      <w:i/>
                      <w:color w:val="000000"/>
                    </w:rPr>
                  </w:pPr>
                  <w:r w:rsidRPr="00855188">
                    <w:rPr>
                      <w:i/>
                      <w:color w:val="000000"/>
                    </w:rPr>
                    <w:t>a)</w:t>
                  </w:r>
                </w:p>
              </w:tc>
              <w:tc>
                <w:tcPr>
                  <w:tcW w:w="9785" w:type="dxa"/>
                  <w:hideMark/>
                </w:tcPr>
                <w:p w14:paraId="110A571E" w14:textId="77777777" w:rsidR="00AD18BA" w:rsidRPr="00855188" w:rsidRDefault="00AD18BA" w:rsidP="00AD18BA">
                  <w:pPr>
                    <w:pStyle w:val="Normal1"/>
                    <w:rPr>
                      <w:i/>
                      <w:color w:val="000000"/>
                    </w:rPr>
                  </w:pPr>
                  <w:r w:rsidRPr="00855188">
                    <w:rPr>
                      <w:i/>
                      <w:color w:val="000000"/>
                    </w:rPr>
                    <w:t>institutter, der udarbejder deres regnskaber i overensstemmelse med de internationale regnskabsstandarder vedtaget efter proceduren i artikel 6, stk. 2, i forordning (EF) nr. 1606/2002</w:t>
                  </w:r>
                </w:p>
              </w:tc>
            </w:tr>
          </w:tbl>
          <w:p w14:paraId="69CC514C"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69"/>
              <w:gridCol w:w="13124"/>
            </w:tblGrid>
            <w:tr w:rsidR="00AD18BA" w:rsidRPr="00855188" w14:paraId="60E1345F" w14:textId="77777777">
              <w:trPr>
                <w:tblCellSpacing w:w="0" w:type="dxa"/>
              </w:trPr>
              <w:tc>
                <w:tcPr>
                  <w:tcW w:w="200" w:type="dxa"/>
                  <w:hideMark/>
                </w:tcPr>
                <w:p w14:paraId="5E57AE6B" w14:textId="77777777" w:rsidR="00AD18BA" w:rsidRPr="00855188" w:rsidRDefault="00AD18BA" w:rsidP="00AD18BA">
                  <w:pPr>
                    <w:pStyle w:val="Normal1"/>
                    <w:rPr>
                      <w:i/>
                      <w:color w:val="000000"/>
                    </w:rPr>
                  </w:pPr>
                  <w:r w:rsidRPr="00855188">
                    <w:rPr>
                      <w:i/>
                      <w:color w:val="000000"/>
                    </w:rPr>
                    <w:t>b)</w:t>
                  </w:r>
                </w:p>
              </w:tc>
              <w:tc>
                <w:tcPr>
                  <w:tcW w:w="9772" w:type="dxa"/>
                  <w:hideMark/>
                </w:tcPr>
                <w:p w14:paraId="64CB2898" w14:textId="77777777" w:rsidR="00AD18BA" w:rsidRPr="00855188" w:rsidRDefault="00AD18BA" w:rsidP="00AD18BA">
                  <w:pPr>
                    <w:pStyle w:val="Normal1"/>
                    <w:rPr>
                      <w:i/>
                      <w:color w:val="000000"/>
                    </w:rPr>
                  </w:pPr>
                  <w:r w:rsidRPr="00855188">
                    <w:rPr>
                      <w:i/>
                      <w:color w:val="000000"/>
                    </w:rPr>
                    <w:t>institutter, der i henhold til nærværende forordnings artikel 24, stk. 2, foretager værdiansættelsen af aktiver og ikkebalanceførte poster samt bestemmelsen af kapitalgrundlaget i overensstemmelse med de internationale regnskabsstandarder vedtaget efter proceduren i artikel 6, stk. 2, i forordning (EF) nr. 1606/2002</w:t>
                  </w:r>
                </w:p>
              </w:tc>
            </w:tr>
          </w:tbl>
          <w:p w14:paraId="3AA30298"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51"/>
              <w:gridCol w:w="13142"/>
            </w:tblGrid>
            <w:tr w:rsidR="00AD18BA" w:rsidRPr="00855188" w14:paraId="49EAE5A9" w14:textId="77777777">
              <w:trPr>
                <w:tblCellSpacing w:w="0" w:type="dxa"/>
              </w:trPr>
              <w:tc>
                <w:tcPr>
                  <w:tcW w:w="187" w:type="dxa"/>
                  <w:hideMark/>
                </w:tcPr>
                <w:p w14:paraId="1AA75225" w14:textId="77777777" w:rsidR="00AD18BA" w:rsidRPr="00855188" w:rsidRDefault="00AD18BA" w:rsidP="00AD18BA">
                  <w:pPr>
                    <w:pStyle w:val="Normal1"/>
                    <w:rPr>
                      <w:i/>
                      <w:color w:val="000000"/>
                    </w:rPr>
                  </w:pPr>
                  <w:r w:rsidRPr="00855188">
                    <w:rPr>
                      <w:i/>
                      <w:color w:val="000000"/>
                    </w:rPr>
                    <w:t>c)</w:t>
                  </w:r>
                </w:p>
              </w:tc>
              <w:tc>
                <w:tcPr>
                  <w:tcW w:w="9785" w:type="dxa"/>
                  <w:hideMark/>
                </w:tcPr>
                <w:p w14:paraId="20070F83" w14:textId="77777777" w:rsidR="00AD18BA" w:rsidRPr="00855188" w:rsidRDefault="00AD18BA" w:rsidP="00AD18BA">
                  <w:pPr>
                    <w:pStyle w:val="Normal1"/>
                    <w:rPr>
                      <w:i/>
                      <w:color w:val="000000"/>
                    </w:rPr>
                  </w:pPr>
                  <w:r w:rsidRPr="00855188">
                    <w:rPr>
                      <w:i/>
                      <w:color w:val="000000"/>
                    </w:rPr>
                    <w:t>institutter, der foretager værdiansættelsen af aktiver og ikkebalanceførte poster i overensstemmelse med regnskabsstandarder i henhold til direktiv 86/635/EØF, og som anvender den samme model for forventet kredittab som den, der anvendes i internationale regnskabsstandarder vedtaget efter proceduren i artikel 6, stk. 2, i forordning (EF) nr. 1606/2002.</w:t>
                  </w:r>
                </w:p>
              </w:tc>
            </w:tr>
          </w:tbl>
          <w:p w14:paraId="537972C3" w14:textId="77777777" w:rsidR="00AD18BA" w:rsidRPr="00855188" w:rsidRDefault="00AD18BA" w:rsidP="00AD18BA">
            <w:pPr>
              <w:pStyle w:val="Normal1"/>
              <w:rPr>
                <w:i/>
                <w:color w:val="000000"/>
              </w:rPr>
            </w:pPr>
            <w:r w:rsidRPr="00855188">
              <w:rPr>
                <w:i/>
                <w:color w:val="000000"/>
              </w:rPr>
              <w:t>Beløbet omhandlet i første afsnit beregnes som summen af følgende:</w:t>
            </w:r>
          </w:p>
          <w:tbl>
            <w:tblPr>
              <w:tblW w:w="5000" w:type="pct"/>
              <w:tblCellSpacing w:w="0" w:type="dxa"/>
              <w:tblLayout w:type="fixed"/>
              <w:tblCellMar>
                <w:left w:w="0" w:type="dxa"/>
                <w:right w:w="0" w:type="dxa"/>
              </w:tblCellMar>
              <w:tblLook w:val="04A0" w:firstRow="1" w:lastRow="0" w:firstColumn="1" w:lastColumn="0" w:noHBand="0" w:noVBand="1"/>
            </w:tblPr>
            <w:tblGrid>
              <w:gridCol w:w="251"/>
              <w:gridCol w:w="13142"/>
            </w:tblGrid>
            <w:tr w:rsidR="00AD18BA" w:rsidRPr="00855188" w14:paraId="3E3596E9" w14:textId="77777777">
              <w:trPr>
                <w:tblCellSpacing w:w="0" w:type="dxa"/>
              </w:trPr>
              <w:tc>
                <w:tcPr>
                  <w:tcW w:w="187" w:type="dxa"/>
                  <w:hideMark/>
                </w:tcPr>
                <w:p w14:paraId="75349208" w14:textId="77777777" w:rsidR="00AD18BA" w:rsidRPr="00855188" w:rsidRDefault="00AD18BA" w:rsidP="00AD18BA">
                  <w:pPr>
                    <w:pStyle w:val="Normal1"/>
                    <w:rPr>
                      <w:i/>
                      <w:color w:val="000000"/>
                    </w:rPr>
                  </w:pPr>
                  <w:r w:rsidRPr="00855188">
                    <w:rPr>
                      <w:i/>
                      <w:color w:val="000000"/>
                    </w:rPr>
                    <w:t>a)</w:t>
                  </w:r>
                </w:p>
              </w:tc>
              <w:tc>
                <w:tcPr>
                  <w:tcW w:w="9785" w:type="dxa"/>
                  <w:hideMark/>
                </w:tcPr>
                <w:p w14:paraId="7CD32C06" w14:textId="77777777" w:rsidR="00AD18BA" w:rsidRPr="00855188" w:rsidRDefault="00AD18BA" w:rsidP="00AD18BA">
                  <w:pPr>
                    <w:pStyle w:val="Normal1"/>
                    <w:rPr>
                      <w:i/>
                      <w:color w:val="000000"/>
                    </w:rPr>
                  </w:pPr>
                  <w:r w:rsidRPr="00855188">
                    <w:rPr>
                      <w:i/>
                      <w:color w:val="000000"/>
                    </w:rPr>
                    <w:t>for eksponeringer, der er underlagt risikovægtning i overensstemmelse med tredje del, afsnit II, kapitel 2, et beløb (AB</w:t>
                  </w:r>
                  <w:r w:rsidRPr="00855188">
                    <w:rPr>
                      <w:rStyle w:val="sub"/>
                      <w:i/>
                      <w:color w:val="000000"/>
                    </w:rPr>
                    <w:t>SA</w:t>
                  </w:r>
                  <w:r w:rsidRPr="00855188">
                    <w:rPr>
                      <w:i/>
                      <w:color w:val="000000"/>
                    </w:rPr>
                    <w:t>) beregnet efter følgende formel:</w:t>
                  </w:r>
                </w:p>
                <w:p w14:paraId="4C4CCA68" w14:textId="77777777" w:rsidR="00AD18BA" w:rsidRPr="00855188" w:rsidRDefault="00AD18BA" w:rsidP="00AD18BA">
                  <w:pPr>
                    <w:pStyle w:val="Normal1"/>
                    <w:rPr>
                      <w:i/>
                      <w:color w:val="000000"/>
                    </w:rPr>
                  </w:pPr>
                  <w:r w:rsidRPr="00855188">
                    <w:rPr>
                      <w:i/>
                      <w:color w:val="000000"/>
                    </w:rPr>
                    <w:t>hvor:</w:t>
                  </w:r>
                </w:p>
                <w:p w14:paraId="38FDC4BC" w14:textId="77777777" w:rsidR="00AD18BA" w:rsidRPr="00855188" w:rsidRDefault="00AD18BA" w:rsidP="00AD18BA">
                  <w:pPr>
                    <w:pStyle w:val="Normal1"/>
                    <w:rPr>
                      <w:i/>
                      <w:color w:val="000000"/>
                    </w:rPr>
                  </w:pPr>
                  <w:r w:rsidRPr="00855188">
                    <w:rPr>
                      <w:rStyle w:val="bold"/>
                      <w:i/>
                      <w:color w:val="000000"/>
                    </w:rPr>
                    <w:t>A</w:t>
                  </w:r>
                  <w:r w:rsidRPr="00855188">
                    <w:rPr>
                      <w:rStyle w:val="sub"/>
                      <w:b/>
                      <w:bCs/>
                      <w:i/>
                      <w:color w:val="000000"/>
                    </w:rPr>
                    <w:t>2,SA</w:t>
                  </w:r>
                  <w:r w:rsidRPr="00855188">
                    <w:rPr>
                      <w:rStyle w:val="bold"/>
                      <w:i/>
                      <w:color w:val="000000"/>
                    </w:rPr>
                    <w:t xml:space="preserve"> </w:t>
                  </w:r>
                  <w:r w:rsidRPr="00855188">
                    <w:rPr>
                      <w:i/>
                      <w:color w:val="000000"/>
                    </w:rPr>
                    <w:t>= beløb beregnet i overensstemmelse med stk. 2</w:t>
                  </w:r>
                </w:p>
                <w:p w14:paraId="7A7128AD" w14:textId="77777777" w:rsidR="00AD18BA" w:rsidRPr="00855188" w:rsidRDefault="00AD18BA" w:rsidP="00AD18BA">
                  <w:pPr>
                    <w:pStyle w:val="Normal1"/>
                    <w:rPr>
                      <w:i/>
                      <w:color w:val="000000"/>
                    </w:rPr>
                  </w:pPr>
                  <w:r w:rsidRPr="00855188">
                    <w:rPr>
                      <w:rStyle w:val="bold"/>
                      <w:i/>
                      <w:color w:val="000000"/>
                    </w:rPr>
                    <w:t>A</w:t>
                  </w:r>
                  <w:r w:rsidRPr="00855188">
                    <w:rPr>
                      <w:rStyle w:val="sub"/>
                      <w:b/>
                      <w:bCs/>
                      <w:i/>
                      <w:color w:val="000000"/>
                    </w:rPr>
                    <w:t>4,SA</w:t>
                  </w:r>
                  <w:r w:rsidRPr="00855188">
                    <w:rPr>
                      <w:rStyle w:val="bold"/>
                      <w:i/>
                      <w:color w:val="000000"/>
                    </w:rPr>
                    <w:t xml:space="preserve"> </w:t>
                  </w:r>
                  <w:r w:rsidRPr="00855188">
                    <w:rPr>
                      <w:i/>
                      <w:color w:val="000000"/>
                    </w:rPr>
                    <w:t>= beløb beregnet i overensstemmelse med stk. 4 på grundlag af beløbene beregnet i overensstemmelse med stk. 3</w:t>
                  </w:r>
                </w:p>
                <w:p w14:paraId="62326085" w14:textId="77777777" w:rsidR="00AD18BA" w:rsidRPr="00855188" w:rsidRDefault="00AD18BA" w:rsidP="00AD18BA">
                  <w:pPr>
                    <w:pStyle w:val="Normal1"/>
                    <w:rPr>
                      <w:i/>
                      <w:color w:val="000000"/>
                    </w:rPr>
                  </w:pPr>
                  <w:r w:rsidRPr="00855188">
                    <w:rPr>
                      <w:rStyle w:val="bold"/>
                      <w:i/>
                      <w:color w:val="000000"/>
                    </w:rPr>
                    <w:t>f</w:t>
                  </w:r>
                  <w:r w:rsidRPr="00855188">
                    <w:rPr>
                      <w:i/>
                      <w:color w:val="000000"/>
                    </w:rPr>
                    <w:t>= den gældende faktor fastlagt i stk. 6</w:t>
                  </w:r>
                </w:p>
                <w:p w14:paraId="41ADA8E8" w14:textId="77777777" w:rsidR="00AD18BA" w:rsidRPr="00855188" w:rsidRDefault="00AD18BA" w:rsidP="00AD18BA">
                  <w:pPr>
                    <w:pStyle w:val="Normal1"/>
                    <w:rPr>
                      <w:i/>
                      <w:color w:val="000000"/>
                    </w:rPr>
                  </w:pPr>
                  <w:r w:rsidRPr="00855188">
                    <w:rPr>
                      <w:rStyle w:val="bold"/>
                      <w:i/>
                      <w:color w:val="000000"/>
                    </w:rPr>
                    <w:t>t</w:t>
                  </w:r>
                  <w:r w:rsidRPr="00855188">
                    <w:rPr>
                      <w:i/>
                      <w:color w:val="000000"/>
                    </w:rPr>
                    <w:t>= stigning i den egentlige kernekapital, der skyldes skattemæssige fradrag af beløbene A</w:t>
                  </w:r>
                  <w:r w:rsidRPr="00855188">
                    <w:rPr>
                      <w:rStyle w:val="sub"/>
                      <w:i/>
                      <w:color w:val="000000"/>
                    </w:rPr>
                    <w:t>2,SA</w:t>
                  </w:r>
                  <w:r w:rsidRPr="00855188">
                    <w:rPr>
                      <w:i/>
                      <w:color w:val="000000"/>
                    </w:rPr>
                    <w:t xml:space="preserve"> og A</w:t>
                  </w:r>
                  <w:r w:rsidRPr="00855188">
                    <w:rPr>
                      <w:rStyle w:val="sub"/>
                      <w:i/>
                      <w:color w:val="000000"/>
                    </w:rPr>
                    <w:t>4,SA</w:t>
                  </w:r>
                  <w:r w:rsidRPr="00855188">
                    <w:rPr>
                      <w:i/>
                      <w:color w:val="000000"/>
                    </w:rPr>
                    <w:t xml:space="preserve"> </w:t>
                  </w:r>
                </w:p>
              </w:tc>
            </w:tr>
          </w:tbl>
          <w:p w14:paraId="28EB3F30"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69"/>
              <w:gridCol w:w="13124"/>
            </w:tblGrid>
            <w:tr w:rsidR="00AD18BA" w:rsidRPr="00855188" w14:paraId="1E890582" w14:textId="77777777">
              <w:trPr>
                <w:tblCellSpacing w:w="0" w:type="dxa"/>
              </w:trPr>
              <w:tc>
                <w:tcPr>
                  <w:tcW w:w="200" w:type="dxa"/>
                  <w:hideMark/>
                </w:tcPr>
                <w:p w14:paraId="63E3E668" w14:textId="77777777" w:rsidR="00AD18BA" w:rsidRPr="00855188" w:rsidRDefault="00AD18BA" w:rsidP="00AD18BA">
                  <w:pPr>
                    <w:pStyle w:val="Normal1"/>
                    <w:rPr>
                      <w:i/>
                      <w:color w:val="000000"/>
                    </w:rPr>
                  </w:pPr>
                  <w:r w:rsidRPr="00855188">
                    <w:rPr>
                      <w:i/>
                      <w:color w:val="000000"/>
                    </w:rPr>
                    <w:t>b)</w:t>
                  </w:r>
                </w:p>
              </w:tc>
              <w:tc>
                <w:tcPr>
                  <w:tcW w:w="9772" w:type="dxa"/>
                  <w:hideMark/>
                </w:tcPr>
                <w:p w14:paraId="390B190B" w14:textId="77777777" w:rsidR="00AD18BA" w:rsidRPr="00855188" w:rsidRDefault="00AD18BA" w:rsidP="00AD18BA">
                  <w:pPr>
                    <w:pStyle w:val="Normal1"/>
                    <w:rPr>
                      <w:i/>
                      <w:color w:val="000000"/>
                    </w:rPr>
                  </w:pPr>
                  <w:r w:rsidRPr="00855188">
                    <w:rPr>
                      <w:i/>
                      <w:color w:val="000000"/>
                    </w:rPr>
                    <w:t>for eksponeringer, der er underlagt risikovægtning i overensstemmelse med tredje del, afsnit II, kapitel 3, et beløb (AB</w:t>
                  </w:r>
                  <w:r w:rsidRPr="00855188">
                    <w:rPr>
                      <w:rStyle w:val="sub"/>
                      <w:i/>
                      <w:color w:val="000000"/>
                    </w:rPr>
                    <w:t>IRB</w:t>
                  </w:r>
                  <w:r w:rsidRPr="00855188">
                    <w:rPr>
                      <w:i/>
                      <w:color w:val="000000"/>
                    </w:rPr>
                    <w:t>) beregnet efter følgende formel:</w:t>
                  </w:r>
                </w:p>
                <w:p w14:paraId="79CC9F19" w14:textId="77777777" w:rsidR="00AD18BA" w:rsidRPr="00855188" w:rsidRDefault="00AD18BA" w:rsidP="00AD18BA">
                  <w:pPr>
                    <w:pStyle w:val="Normal1"/>
                    <w:rPr>
                      <w:i/>
                      <w:color w:val="000000"/>
                    </w:rPr>
                  </w:pPr>
                  <w:r w:rsidRPr="00855188">
                    <w:rPr>
                      <w:i/>
                      <w:color w:val="000000"/>
                    </w:rPr>
                    <w:t>hvor:</w:t>
                  </w:r>
                </w:p>
                <w:p w14:paraId="3A0075B2" w14:textId="77777777" w:rsidR="00AD18BA" w:rsidRPr="00855188" w:rsidRDefault="00AD18BA" w:rsidP="00AD18BA">
                  <w:pPr>
                    <w:pStyle w:val="Normal1"/>
                    <w:rPr>
                      <w:i/>
                      <w:color w:val="000000"/>
                    </w:rPr>
                  </w:pPr>
                  <w:r w:rsidRPr="00855188">
                    <w:rPr>
                      <w:rStyle w:val="bold"/>
                      <w:i/>
                      <w:color w:val="000000"/>
                    </w:rPr>
                    <w:t>A</w:t>
                  </w:r>
                  <w:r w:rsidRPr="00855188">
                    <w:rPr>
                      <w:rStyle w:val="sub"/>
                      <w:b/>
                      <w:bCs/>
                      <w:i/>
                      <w:color w:val="000000"/>
                    </w:rPr>
                    <w:t>2,IRB</w:t>
                  </w:r>
                  <w:r w:rsidRPr="00855188">
                    <w:rPr>
                      <w:rStyle w:val="bold"/>
                      <w:i/>
                      <w:color w:val="000000"/>
                    </w:rPr>
                    <w:t xml:space="preserve"> </w:t>
                  </w:r>
                  <w:r w:rsidRPr="00855188">
                    <w:rPr>
                      <w:i/>
                      <w:color w:val="000000"/>
                    </w:rPr>
                    <w:t>= beløb beregnet i overensstemmelse med stk. 2 og justeret i overensstemmelse med stk. 5, litra a)</w:t>
                  </w:r>
                </w:p>
                <w:p w14:paraId="3EB011FE" w14:textId="77777777" w:rsidR="00AD18BA" w:rsidRPr="00855188" w:rsidRDefault="00AD18BA" w:rsidP="00AD18BA">
                  <w:pPr>
                    <w:pStyle w:val="Normal1"/>
                    <w:rPr>
                      <w:i/>
                      <w:color w:val="000000"/>
                    </w:rPr>
                  </w:pPr>
                  <w:r w:rsidRPr="00855188">
                    <w:rPr>
                      <w:rStyle w:val="bold"/>
                      <w:i/>
                      <w:color w:val="000000"/>
                    </w:rPr>
                    <w:t>A</w:t>
                  </w:r>
                  <w:r w:rsidRPr="00855188">
                    <w:rPr>
                      <w:rStyle w:val="sub"/>
                      <w:b/>
                      <w:bCs/>
                      <w:i/>
                      <w:color w:val="000000"/>
                    </w:rPr>
                    <w:t>4,IRB</w:t>
                  </w:r>
                  <w:r w:rsidRPr="00855188">
                    <w:rPr>
                      <w:rStyle w:val="bold"/>
                      <w:i/>
                      <w:color w:val="000000"/>
                    </w:rPr>
                    <w:t xml:space="preserve"> </w:t>
                  </w:r>
                  <w:r w:rsidRPr="00855188">
                    <w:rPr>
                      <w:i/>
                      <w:color w:val="000000"/>
                    </w:rPr>
                    <w:t>= beløb beregnet i overensstemmelse med stk. 4 på grundlag af beløbene beregnet i overensstemmelse med stk. 3, som justeret i overensstemmelse med stk. 5, litra b) og c)</w:t>
                  </w:r>
                </w:p>
                <w:p w14:paraId="03AF1F6F" w14:textId="77777777" w:rsidR="00AD18BA" w:rsidRPr="00855188" w:rsidRDefault="00AD18BA" w:rsidP="00AD18BA">
                  <w:pPr>
                    <w:pStyle w:val="Normal1"/>
                    <w:rPr>
                      <w:i/>
                      <w:color w:val="000000"/>
                    </w:rPr>
                  </w:pPr>
                  <w:r w:rsidRPr="00855188">
                    <w:rPr>
                      <w:rStyle w:val="bold"/>
                      <w:i/>
                      <w:color w:val="000000"/>
                    </w:rPr>
                    <w:t>f</w:t>
                  </w:r>
                  <w:r w:rsidRPr="00855188">
                    <w:rPr>
                      <w:i/>
                      <w:color w:val="000000"/>
                    </w:rPr>
                    <w:t>= den gældende faktor fastlagt i stk. 6</w:t>
                  </w:r>
                </w:p>
                <w:p w14:paraId="705596D9" w14:textId="77777777" w:rsidR="00AD18BA" w:rsidRPr="00855188" w:rsidRDefault="00AD18BA" w:rsidP="00AD18BA">
                  <w:pPr>
                    <w:pStyle w:val="Normal1"/>
                    <w:rPr>
                      <w:i/>
                      <w:color w:val="000000"/>
                    </w:rPr>
                  </w:pPr>
                  <w:r w:rsidRPr="00855188">
                    <w:rPr>
                      <w:rStyle w:val="bold"/>
                      <w:i/>
                      <w:color w:val="000000"/>
                    </w:rPr>
                    <w:t>t</w:t>
                  </w:r>
                  <w:r w:rsidRPr="00855188">
                    <w:rPr>
                      <w:i/>
                      <w:color w:val="000000"/>
                    </w:rPr>
                    <w:t>= stigning i den egentlige kernekapital, der skyldes skattemæssige fradrag af beløbene A</w:t>
                  </w:r>
                  <w:r w:rsidRPr="00855188">
                    <w:rPr>
                      <w:rStyle w:val="sub"/>
                      <w:i/>
                      <w:color w:val="000000"/>
                    </w:rPr>
                    <w:t>2,IRB</w:t>
                  </w:r>
                  <w:r w:rsidRPr="00855188">
                    <w:rPr>
                      <w:i/>
                      <w:color w:val="000000"/>
                    </w:rPr>
                    <w:t xml:space="preserve"> og A</w:t>
                  </w:r>
                  <w:r w:rsidRPr="00855188">
                    <w:rPr>
                      <w:rStyle w:val="sub"/>
                      <w:i/>
                      <w:color w:val="000000"/>
                    </w:rPr>
                    <w:t>4,IRB</w:t>
                  </w:r>
                  <w:r w:rsidRPr="00855188">
                    <w:rPr>
                      <w:i/>
                      <w:color w:val="000000"/>
                    </w:rPr>
                    <w:t>.</w:t>
                  </w:r>
                </w:p>
              </w:tc>
            </w:tr>
          </w:tbl>
          <w:p w14:paraId="09A51DAD" w14:textId="77777777" w:rsidR="00AD18BA" w:rsidRPr="00855188" w:rsidRDefault="00AD18BA" w:rsidP="00AD18BA">
            <w:pPr>
              <w:pStyle w:val="Normal1"/>
              <w:rPr>
                <w:i/>
                <w:color w:val="000000"/>
              </w:rPr>
            </w:pPr>
            <w:r w:rsidRPr="00855188">
              <w:rPr>
                <w:i/>
                <w:color w:val="000000"/>
              </w:rPr>
              <w:t>2.   Institutter beregner de i stk. 1, andet afsnit, litra a) og b), omhandlede beløb A</w:t>
            </w:r>
            <w:r w:rsidRPr="00855188">
              <w:rPr>
                <w:rStyle w:val="sub"/>
                <w:i/>
                <w:color w:val="000000"/>
              </w:rPr>
              <w:t>2,SA</w:t>
            </w:r>
            <w:r w:rsidRPr="00855188">
              <w:rPr>
                <w:i/>
                <w:color w:val="000000"/>
              </w:rPr>
              <w:t xml:space="preserve"> og A</w:t>
            </w:r>
            <w:r w:rsidRPr="00855188">
              <w:rPr>
                <w:rStyle w:val="sub"/>
                <w:i/>
                <w:color w:val="000000"/>
              </w:rPr>
              <w:t>2,IRB</w:t>
            </w:r>
            <w:r w:rsidRPr="00855188">
              <w:rPr>
                <w:i/>
                <w:color w:val="000000"/>
              </w:rPr>
              <w:t xml:space="preserve"> som det største af beløbene omhandlet i henholdsvis litra a) og b) i nærværende stykke særskilt for deres eksponeringer, der er underlagt risikovægtning i overensstemmelse med tredje del, afsnit II, kapitel 2, og for deres eksponeringer, der er underlagt risikovægtning i overensstemmelse med tredje del, afsnit II, kapitel 3:</w:t>
            </w:r>
          </w:p>
          <w:tbl>
            <w:tblPr>
              <w:tblW w:w="5000" w:type="pct"/>
              <w:tblCellSpacing w:w="0" w:type="dxa"/>
              <w:tblLayout w:type="fixed"/>
              <w:tblCellMar>
                <w:left w:w="0" w:type="dxa"/>
                <w:right w:w="0" w:type="dxa"/>
              </w:tblCellMar>
              <w:tblLook w:val="04A0" w:firstRow="1" w:lastRow="0" w:firstColumn="1" w:lastColumn="0" w:noHBand="0" w:noVBand="1"/>
            </w:tblPr>
            <w:tblGrid>
              <w:gridCol w:w="5070"/>
              <w:gridCol w:w="8323"/>
            </w:tblGrid>
            <w:tr w:rsidR="00AD18BA" w:rsidRPr="00855188" w14:paraId="46C42B39" w14:textId="77777777">
              <w:trPr>
                <w:tblCellSpacing w:w="0" w:type="dxa"/>
              </w:trPr>
              <w:tc>
                <w:tcPr>
                  <w:tcW w:w="3775" w:type="dxa"/>
                  <w:hideMark/>
                </w:tcPr>
                <w:p w14:paraId="1E703A56" w14:textId="77777777" w:rsidR="00AD18BA" w:rsidRPr="00855188" w:rsidRDefault="00AD18BA" w:rsidP="00AD18BA">
                  <w:pPr>
                    <w:pStyle w:val="Normal1"/>
                    <w:rPr>
                      <w:i/>
                      <w:color w:val="000000"/>
                    </w:rPr>
                  </w:pPr>
                  <w:r w:rsidRPr="00855188">
                    <w:rPr>
                      <w:i/>
                      <w:color w:val="000000"/>
                    </w:rPr>
                    <w:t>a)</w:t>
                  </w:r>
                  <w:r w:rsidR="00B75A05" w:rsidRPr="00855188">
                    <w:rPr>
                      <w:i/>
                      <w:color w:val="000000"/>
                    </w:rPr>
                    <w:t xml:space="preserve">  nul</w:t>
                  </w:r>
                </w:p>
              </w:tc>
              <w:tc>
                <w:tcPr>
                  <w:tcW w:w="6197" w:type="dxa"/>
                  <w:hideMark/>
                </w:tcPr>
                <w:p w14:paraId="527AA977" w14:textId="77777777" w:rsidR="00AD18BA" w:rsidRPr="00855188" w:rsidRDefault="00AD18BA" w:rsidP="00AD18BA">
                  <w:pPr>
                    <w:pStyle w:val="Normal1"/>
                    <w:rPr>
                      <w:i/>
                      <w:color w:val="000000"/>
                    </w:rPr>
                  </w:pPr>
                </w:p>
              </w:tc>
            </w:tr>
          </w:tbl>
          <w:p w14:paraId="6EBB003F"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69"/>
              <w:gridCol w:w="13124"/>
            </w:tblGrid>
            <w:tr w:rsidR="00AD18BA" w:rsidRPr="00855188" w14:paraId="443F65CA" w14:textId="77777777">
              <w:trPr>
                <w:tblCellSpacing w:w="0" w:type="dxa"/>
              </w:trPr>
              <w:tc>
                <w:tcPr>
                  <w:tcW w:w="200" w:type="dxa"/>
                  <w:hideMark/>
                </w:tcPr>
                <w:p w14:paraId="17056939" w14:textId="77777777" w:rsidR="00AD18BA" w:rsidRPr="00855188" w:rsidRDefault="00AD18BA" w:rsidP="00AD18BA">
                  <w:pPr>
                    <w:pStyle w:val="Normal1"/>
                    <w:rPr>
                      <w:i/>
                      <w:color w:val="000000"/>
                    </w:rPr>
                  </w:pPr>
                  <w:r w:rsidRPr="00855188">
                    <w:rPr>
                      <w:i/>
                      <w:color w:val="000000"/>
                    </w:rPr>
                    <w:t>b)</w:t>
                  </w:r>
                </w:p>
              </w:tc>
              <w:tc>
                <w:tcPr>
                  <w:tcW w:w="9772" w:type="dxa"/>
                  <w:hideMark/>
                </w:tcPr>
                <w:p w14:paraId="45A27EC2" w14:textId="77777777" w:rsidR="00AD18BA" w:rsidRPr="00855188" w:rsidRDefault="00AD18BA" w:rsidP="00AD18BA">
                  <w:pPr>
                    <w:pStyle w:val="Normal1"/>
                    <w:rPr>
                      <w:i/>
                      <w:color w:val="000000"/>
                    </w:rPr>
                  </w:pPr>
                  <w:r w:rsidRPr="00855188">
                    <w:rPr>
                      <w:i/>
                      <w:color w:val="000000"/>
                    </w:rPr>
                    <w:t>værdien beregnet i overensstemmelse med nr. i) fratrukket det beløb, der er beregnet i overensstemmelse med nr. ii):</w:t>
                  </w:r>
                </w:p>
                <w:tbl>
                  <w:tblPr>
                    <w:tblW w:w="5000" w:type="pct"/>
                    <w:tblCellSpacing w:w="0" w:type="dxa"/>
                    <w:tblLayout w:type="fixed"/>
                    <w:tblCellMar>
                      <w:left w:w="0" w:type="dxa"/>
                      <w:right w:w="0" w:type="dxa"/>
                    </w:tblCellMar>
                    <w:tblLook w:val="04A0" w:firstRow="1" w:lastRow="0" w:firstColumn="1" w:lastColumn="0" w:noHBand="0" w:noVBand="1"/>
                  </w:tblPr>
                  <w:tblGrid>
                    <w:gridCol w:w="197"/>
                    <w:gridCol w:w="12927"/>
                  </w:tblGrid>
                  <w:tr w:rsidR="00AD18BA" w:rsidRPr="00855188" w14:paraId="41462E23" w14:textId="77777777">
                    <w:trPr>
                      <w:tblCellSpacing w:w="0" w:type="dxa"/>
                    </w:trPr>
                    <w:tc>
                      <w:tcPr>
                        <w:tcW w:w="147" w:type="dxa"/>
                        <w:hideMark/>
                      </w:tcPr>
                      <w:p w14:paraId="05E5A428" w14:textId="77777777" w:rsidR="00AD18BA" w:rsidRPr="00855188" w:rsidRDefault="00AD18BA" w:rsidP="00AD18BA">
                        <w:pPr>
                          <w:pStyle w:val="Normal1"/>
                          <w:rPr>
                            <w:i/>
                            <w:color w:val="000000"/>
                          </w:rPr>
                        </w:pPr>
                        <w:r w:rsidRPr="00855188">
                          <w:rPr>
                            <w:i/>
                            <w:color w:val="000000"/>
                          </w:rPr>
                          <w:t>i)</w:t>
                        </w:r>
                      </w:p>
                    </w:tc>
                    <w:tc>
                      <w:tcPr>
                        <w:tcW w:w="9625" w:type="dxa"/>
                        <w:hideMark/>
                      </w:tcPr>
                      <w:p w14:paraId="55D7578A" w14:textId="77777777" w:rsidR="00AD18BA" w:rsidRPr="00855188" w:rsidRDefault="00AD18BA" w:rsidP="00AD18BA">
                        <w:pPr>
                          <w:pStyle w:val="Normal1"/>
                          <w:rPr>
                            <w:i/>
                            <w:color w:val="000000"/>
                          </w:rPr>
                        </w:pPr>
                        <w:r w:rsidRPr="00855188">
                          <w:rPr>
                            <w:i/>
                            <w:color w:val="000000"/>
                          </w:rPr>
                          <w:t>summen af de forventede kredittab over 12 måneder beregnet i overensstemmelse med afsnit 5.5.5 i IFRS 9 som fastsat i bilaget til Kommissionens forordning (EF) nr. 1126/2008 (»bilaget vedrørende IFRS 9«) og størrelsen af den nedskrivning til forventede kredittab i løbetiden, der er beregnet i overensstemmelse med afsnit 5.5.3 i bilaget vedrørende IFRS 9, pr. 1. januar 2018 eller den dato, hvor IFRS 9 anvendes første gang</w:t>
                        </w:r>
                      </w:p>
                    </w:tc>
                  </w:tr>
                </w:tbl>
                <w:p w14:paraId="3C64C8DC"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87"/>
                    <w:gridCol w:w="12837"/>
                  </w:tblGrid>
                  <w:tr w:rsidR="00AD18BA" w:rsidRPr="00855188" w14:paraId="31E664F7" w14:textId="77777777">
                    <w:trPr>
                      <w:tblCellSpacing w:w="0" w:type="dxa"/>
                    </w:trPr>
                    <w:tc>
                      <w:tcPr>
                        <w:tcW w:w="214" w:type="dxa"/>
                        <w:hideMark/>
                      </w:tcPr>
                      <w:p w14:paraId="017A7917" w14:textId="77777777" w:rsidR="00AD18BA" w:rsidRPr="00855188" w:rsidRDefault="00AD18BA" w:rsidP="00AD18BA">
                        <w:pPr>
                          <w:pStyle w:val="Normal1"/>
                          <w:rPr>
                            <w:i/>
                            <w:color w:val="000000"/>
                          </w:rPr>
                        </w:pPr>
                        <w:r w:rsidRPr="00855188">
                          <w:rPr>
                            <w:i/>
                            <w:color w:val="000000"/>
                          </w:rPr>
                          <w:t>ii)</w:t>
                        </w:r>
                      </w:p>
                    </w:tc>
                    <w:tc>
                      <w:tcPr>
                        <w:tcW w:w="9558" w:type="dxa"/>
                        <w:hideMark/>
                      </w:tcPr>
                      <w:p w14:paraId="528420AD" w14:textId="77777777" w:rsidR="00AD18BA" w:rsidRPr="00855188" w:rsidRDefault="00AD18BA" w:rsidP="00AD18BA">
                        <w:pPr>
                          <w:pStyle w:val="Normal1"/>
                          <w:rPr>
                            <w:i/>
                            <w:color w:val="000000"/>
                          </w:rPr>
                        </w:pPr>
                        <w:r w:rsidRPr="00855188">
                          <w:rPr>
                            <w:i/>
                            <w:color w:val="000000"/>
                          </w:rPr>
                          <w:t>det samlede beløb for tab ved værdiforringelse af finansielle aktiver, der er klassificeret som lån og tilgodehavender, hold-til-udløb-investeringer og finansielle aktiver disponible for salg, som defineret i afsnit 9 i IAS 39, med undtagelse af egenkapitalinstrumenter og andele eller aktier i kollektive investeringsordninger, beregnet i overensstemmelse med afsnit 63, 64, 65, 67, 68 og 70 i IAS 39 som fastsat i bilaget til forordning (EF) nr. 1126/2008 pr. 31. december 2017 eller dagen før den dato, hvor IFRS 9 anvendes første gang.</w:t>
                        </w:r>
                      </w:p>
                    </w:tc>
                  </w:tr>
                </w:tbl>
                <w:p w14:paraId="6EBC2E0C" w14:textId="77777777" w:rsidR="00AD18BA" w:rsidRPr="00855188" w:rsidRDefault="00AD18BA" w:rsidP="00AD18BA">
                  <w:pPr>
                    <w:rPr>
                      <w:i/>
                      <w:color w:val="000000"/>
                    </w:rPr>
                  </w:pPr>
                </w:p>
              </w:tc>
            </w:tr>
          </w:tbl>
          <w:p w14:paraId="4F30D1B8" w14:textId="77777777" w:rsidR="00AD18BA" w:rsidRPr="00855188" w:rsidRDefault="00AD18BA" w:rsidP="00AD18BA">
            <w:pPr>
              <w:pStyle w:val="Normal1"/>
              <w:rPr>
                <w:i/>
                <w:color w:val="000000"/>
              </w:rPr>
            </w:pPr>
            <w:r w:rsidRPr="00855188">
              <w:rPr>
                <w:i/>
                <w:color w:val="000000"/>
              </w:rPr>
              <w:t>3.   Institutter beregner det beløb, hvormed beløbet omhandlet i litra a) overstiger beløbet omhandlet i litra b) særskilt for deres eksponeringer, der er underlagt risikovægtning i overensstemmelse med tredje del, afsnit II, kapitel 2, og for deres eksponeringer, der er underlagt risikovægtning i overensstemmelse med tredje del, afsnit II, kapitel 3:</w:t>
            </w:r>
          </w:p>
          <w:tbl>
            <w:tblPr>
              <w:tblW w:w="5000" w:type="pct"/>
              <w:tblCellSpacing w:w="0" w:type="dxa"/>
              <w:tblLayout w:type="fixed"/>
              <w:tblCellMar>
                <w:left w:w="0" w:type="dxa"/>
                <w:right w:w="0" w:type="dxa"/>
              </w:tblCellMar>
              <w:tblLook w:val="04A0" w:firstRow="1" w:lastRow="0" w:firstColumn="1" w:lastColumn="0" w:noHBand="0" w:noVBand="1"/>
            </w:tblPr>
            <w:tblGrid>
              <w:gridCol w:w="251"/>
              <w:gridCol w:w="13142"/>
            </w:tblGrid>
            <w:tr w:rsidR="00AD18BA" w:rsidRPr="00855188" w14:paraId="11BF18C6" w14:textId="77777777">
              <w:trPr>
                <w:tblCellSpacing w:w="0" w:type="dxa"/>
              </w:trPr>
              <w:tc>
                <w:tcPr>
                  <w:tcW w:w="187" w:type="dxa"/>
                  <w:hideMark/>
                </w:tcPr>
                <w:p w14:paraId="1EEA69CB" w14:textId="77777777" w:rsidR="00AD18BA" w:rsidRPr="00855188" w:rsidRDefault="00AD18BA" w:rsidP="00AD18BA">
                  <w:pPr>
                    <w:pStyle w:val="Normal1"/>
                    <w:rPr>
                      <w:i/>
                      <w:color w:val="000000"/>
                    </w:rPr>
                  </w:pPr>
                  <w:r w:rsidRPr="00855188">
                    <w:rPr>
                      <w:i/>
                      <w:color w:val="000000"/>
                    </w:rPr>
                    <w:lastRenderedPageBreak/>
                    <w:t>a)</w:t>
                  </w:r>
                </w:p>
              </w:tc>
              <w:tc>
                <w:tcPr>
                  <w:tcW w:w="9785" w:type="dxa"/>
                  <w:hideMark/>
                </w:tcPr>
                <w:p w14:paraId="21E96471" w14:textId="77777777" w:rsidR="00AD18BA" w:rsidRPr="00855188" w:rsidRDefault="00AD18BA" w:rsidP="00AD18BA">
                  <w:pPr>
                    <w:pStyle w:val="Normal1"/>
                    <w:rPr>
                      <w:i/>
                      <w:color w:val="000000"/>
                    </w:rPr>
                  </w:pPr>
                  <w:r w:rsidRPr="00855188">
                    <w:rPr>
                      <w:i/>
                      <w:color w:val="000000"/>
                    </w:rPr>
                    <w:t>summen af de forventede kredittab over 12 måneder beregnet i overensstemmelse med afsnit 5.5.5 i bilaget vedrørende IFRS 9 og størrelsen af den nedskrivning til forventede kredittab i løbetiden, der er beregnet i overensstemmelse med afsnit 5.5.3 i bilaget vedrørende IFRS 9, med undtagelse af nedskrivning til forventede kredittab i løbetiden for finansielle aktiver, der er værdiforringede som defineret i appendiks A til bilaget vedrørende IFRS 9 pr. indberetningsdatoen</w:t>
                  </w:r>
                </w:p>
              </w:tc>
            </w:tr>
          </w:tbl>
          <w:p w14:paraId="6B260F9C"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69"/>
              <w:gridCol w:w="13124"/>
            </w:tblGrid>
            <w:tr w:rsidR="00AD18BA" w:rsidRPr="00855188" w14:paraId="03F21B4A" w14:textId="77777777">
              <w:trPr>
                <w:tblCellSpacing w:w="0" w:type="dxa"/>
              </w:trPr>
              <w:tc>
                <w:tcPr>
                  <w:tcW w:w="200" w:type="dxa"/>
                  <w:hideMark/>
                </w:tcPr>
                <w:p w14:paraId="2E31CFE8" w14:textId="77777777" w:rsidR="00AD18BA" w:rsidRPr="00855188" w:rsidRDefault="00AD18BA" w:rsidP="00AD18BA">
                  <w:pPr>
                    <w:pStyle w:val="Normal1"/>
                    <w:rPr>
                      <w:i/>
                      <w:color w:val="000000"/>
                    </w:rPr>
                  </w:pPr>
                  <w:r w:rsidRPr="00855188">
                    <w:rPr>
                      <w:i/>
                      <w:color w:val="000000"/>
                    </w:rPr>
                    <w:t>b)</w:t>
                  </w:r>
                </w:p>
              </w:tc>
              <w:tc>
                <w:tcPr>
                  <w:tcW w:w="9772" w:type="dxa"/>
                  <w:hideMark/>
                </w:tcPr>
                <w:p w14:paraId="4801B10D" w14:textId="77777777" w:rsidR="00AD18BA" w:rsidRPr="00855188" w:rsidRDefault="00AD18BA" w:rsidP="00AD18BA">
                  <w:pPr>
                    <w:pStyle w:val="Normal1"/>
                    <w:rPr>
                      <w:i/>
                      <w:color w:val="000000"/>
                    </w:rPr>
                  </w:pPr>
                  <w:r w:rsidRPr="00855188">
                    <w:rPr>
                      <w:i/>
                      <w:color w:val="000000"/>
                    </w:rPr>
                    <w:t>summen af de forventede kredittab over 12 måneder beregnet i overensstemmelse med afsnit 5.5.5 i bilaget vedrørende IFRS 9 og størrelsen af den nedskrivning til forventede kredittab i løbetiden, der er beregnet i overensstemmelse med afsnit 5.5.3 i bilaget vedrørende IFRS 9, med undtagelse af nedskrivning til forventede kredittab i løbetiden for finansielle aktiver, der er værdiforringede som defineret i appendiks A til bilaget vedrørende IFRS 9 pr. 1. januar 2018 eller den dato, hvor IFRS 9 anvendes første gang.</w:t>
                  </w:r>
                </w:p>
              </w:tc>
            </w:tr>
          </w:tbl>
          <w:p w14:paraId="7A0D9802" w14:textId="77777777" w:rsidR="00AD18BA" w:rsidRPr="00855188" w:rsidRDefault="00AD18BA" w:rsidP="00AD18BA">
            <w:pPr>
              <w:pStyle w:val="Normal1"/>
              <w:rPr>
                <w:i/>
                <w:color w:val="000000"/>
              </w:rPr>
            </w:pPr>
            <w:r w:rsidRPr="00855188">
              <w:rPr>
                <w:i/>
                <w:color w:val="000000"/>
              </w:rPr>
              <w:t>4.   For eksponeringer, der er underlagt risikovægtning i overensstemmelse med tredje del, afsnit II, kapitel 2, hvor det beløb, som er fastsat i henhold til stk. 3, litra a), overstiger det beløb, som er fastsat i stk. 3, litra b), sætter institutter A</w:t>
            </w:r>
            <w:r w:rsidRPr="00855188">
              <w:rPr>
                <w:rStyle w:val="sub"/>
                <w:i/>
                <w:color w:val="000000"/>
              </w:rPr>
              <w:t>4,SA</w:t>
            </w:r>
            <w:r w:rsidRPr="00855188">
              <w:rPr>
                <w:i/>
                <w:color w:val="000000"/>
              </w:rPr>
              <w:t xml:space="preserve"> lig forskellen mellem disse beløb, ellers sætter de A</w:t>
            </w:r>
            <w:r w:rsidRPr="00855188">
              <w:rPr>
                <w:rStyle w:val="sub"/>
                <w:i/>
                <w:color w:val="000000"/>
              </w:rPr>
              <w:t>4,SA</w:t>
            </w:r>
            <w:r w:rsidRPr="00855188">
              <w:rPr>
                <w:i/>
                <w:color w:val="000000"/>
              </w:rPr>
              <w:t xml:space="preserve"> til nul.</w:t>
            </w:r>
          </w:p>
          <w:p w14:paraId="768D726B" w14:textId="77777777" w:rsidR="00AD18BA" w:rsidRPr="00855188" w:rsidRDefault="00AD18BA" w:rsidP="00AD18BA">
            <w:pPr>
              <w:pStyle w:val="Normal1"/>
              <w:rPr>
                <w:i/>
                <w:color w:val="000000"/>
              </w:rPr>
            </w:pPr>
            <w:r w:rsidRPr="00855188">
              <w:rPr>
                <w:i/>
                <w:color w:val="000000"/>
              </w:rPr>
              <w:t>For eksponeringer, der er underlagt risikovægtning i overensstemmelse med tredje del, afsnit II, kapitel 3, hvor det beløb, som er fastsat i henhold til stk. 3, litra a), efter anvendelse af stk. 5, litra b), overstiger beløb for disse eksponeringer, som er fastsat i stk. 3, litra b), efter anvendelse af stk. 5, litra c), sætter institutter A</w:t>
            </w:r>
            <w:r w:rsidRPr="00855188">
              <w:rPr>
                <w:rStyle w:val="sub"/>
                <w:i/>
                <w:color w:val="000000"/>
              </w:rPr>
              <w:t>4,IRB</w:t>
            </w:r>
            <w:r w:rsidRPr="00855188">
              <w:rPr>
                <w:i/>
                <w:color w:val="000000"/>
              </w:rPr>
              <w:t xml:space="preserve"> lig forskellen mellem disse beløb, ellers sætter de A</w:t>
            </w:r>
            <w:r w:rsidRPr="00855188">
              <w:rPr>
                <w:rStyle w:val="sub"/>
                <w:i/>
                <w:color w:val="000000"/>
              </w:rPr>
              <w:t>4,IRB</w:t>
            </w:r>
            <w:r w:rsidRPr="00855188">
              <w:rPr>
                <w:i/>
                <w:color w:val="000000"/>
              </w:rPr>
              <w:t xml:space="preserve"> til nul.</w:t>
            </w:r>
          </w:p>
          <w:p w14:paraId="2B6B7014" w14:textId="77777777" w:rsidR="00AD18BA" w:rsidRPr="00855188" w:rsidRDefault="00AD18BA" w:rsidP="00AD18BA">
            <w:pPr>
              <w:pStyle w:val="Normal1"/>
              <w:rPr>
                <w:i/>
                <w:color w:val="000000"/>
              </w:rPr>
            </w:pPr>
            <w:r w:rsidRPr="00855188">
              <w:rPr>
                <w:i/>
                <w:color w:val="000000"/>
              </w:rPr>
              <w:t>5.   For eksponeringer, der er underlagt risikovægtning i overensstemmelse med tredje del, afsnit II, kapitel 3, anvender institutter stk. 2-4 således:</w:t>
            </w:r>
          </w:p>
          <w:tbl>
            <w:tblPr>
              <w:tblW w:w="5000" w:type="pct"/>
              <w:tblCellSpacing w:w="0" w:type="dxa"/>
              <w:tblLayout w:type="fixed"/>
              <w:tblCellMar>
                <w:left w:w="0" w:type="dxa"/>
                <w:right w:w="0" w:type="dxa"/>
              </w:tblCellMar>
              <w:tblLook w:val="04A0" w:firstRow="1" w:lastRow="0" w:firstColumn="1" w:lastColumn="0" w:noHBand="0" w:noVBand="1"/>
            </w:tblPr>
            <w:tblGrid>
              <w:gridCol w:w="251"/>
              <w:gridCol w:w="13142"/>
            </w:tblGrid>
            <w:tr w:rsidR="00AD18BA" w:rsidRPr="00855188" w14:paraId="483034C0" w14:textId="77777777">
              <w:trPr>
                <w:tblCellSpacing w:w="0" w:type="dxa"/>
              </w:trPr>
              <w:tc>
                <w:tcPr>
                  <w:tcW w:w="187" w:type="dxa"/>
                  <w:hideMark/>
                </w:tcPr>
                <w:p w14:paraId="53B776D2" w14:textId="77777777" w:rsidR="00AD18BA" w:rsidRPr="00855188" w:rsidRDefault="00AD18BA" w:rsidP="00AD18BA">
                  <w:pPr>
                    <w:pStyle w:val="Normal1"/>
                    <w:rPr>
                      <w:i/>
                      <w:color w:val="000000"/>
                    </w:rPr>
                  </w:pPr>
                  <w:r w:rsidRPr="00855188">
                    <w:rPr>
                      <w:i/>
                      <w:color w:val="000000"/>
                    </w:rPr>
                    <w:t>a)</w:t>
                  </w:r>
                </w:p>
              </w:tc>
              <w:tc>
                <w:tcPr>
                  <w:tcW w:w="9785" w:type="dxa"/>
                  <w:hideMark/>
                </w:tcPr>
                <w:p w14:paraId="40564209" w14:textId="77777777" w:rsidR="00AD18BA" w:rsidRPr="00855188" w:rsidRDefault="00AD18BA" w:rsidP="00AD18BA">
                  <w:pPr>
                    <w:pStyle w:val="Normal1"/>
                    <w:rPr>
                      <w:i/>
                      <w:color w:val="000000"/>
                    </w:rPr>
                  </w:pPr>
                  <w:r w:rsidRPr="00855188">
                    <w:rPr>
                      <w:i/>
                      <w:color w:val="000000"/>
                    </w:rPr>
                    <w:t>til beregning af A</w:t>
                  </w:r>
                  <w:r w:rsidRPr="00855188">
                    <w:rPr>
                      <w:rStyle w:val="sub"/>
                      <w:i/>
                      <w:color w:val="000000"/>
                    </w:rPr>
                    <w:t>2,IRB</w:t>
                  </w:r>
                  <w:r w:rsidRPr="00855188">
                    <w:rPr>
                      <w:i/>
                      <w:color w:val="000000"/>
                    </w:rPr>
                    <w:t xml:space="preserve"> skal institutter reducere hvert af de beløb, der beregnes i overensstemmelse med nærværende artikels stk. 2, litra b), nr. i) og ii), med den samlede værdi af de forventede tab beregnet i overensstemmelse med artikel 158, stk. 5, 6 og 10, pr. 31. december 2017 eller dagen før den dato, hvor IFRS 9 anvendes første gang. Såfremt beregningen af beløbet omhandlet i nærværende artikels stk. 2, litra b), nr. i), fører til et negativt tal, fastsætter instituttet værdien af dette beløb til nul. Såfremt beregningen af beløbet omhandlet i nærværende artikels stk. 2, litra b), nr. ii) fører til et negativt tal, fastsætter instituttet værdien af dette beløb til nul.</w:t>
                  </w:r>
                </w:p>
              </w:tc>
            </w:tr>
          </w:tbl>
          <w:p w14:paraId="7C648FA6"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69"/>
              <w:gridCol w:w="13124"/>
            </w:tblGrid>
            <w:tr w:rsidR="00AD18BA" w:rsidRPr="00855188" w14:paraId="67681610" w14:textId="77777777">
              <w:trPr>
                <w:tblCellSpacing w:w="0" w:type="dxa"/>
              </w:trPr>
              <w:tc>
                <w:tcPr>
                  <w:tcW w:w="200" w:type="dxa"/>
                  <w:hideMark/>
                </w:tcPr>
                <w:p w14:paraId="38E7D4B5" w14:textId="77777777" w:rsidR="00AD18BA" w:rsidRPr="00855188" w:rsidRDefault="00AD18BA" w:rsidP="00AD18BA">
                  <w:pPr>
                    <w:pStyle w:val="Normal1"/>
                    <w:rPr>
                      <w:i/>
                      <w:color w:val="000000"/>
                    </w:rPr>
                  </w:pPr>
                  <w:r w:rsidRPr="00855188">
                    <w:rPr>
                      <w:i/>
                      <w:color w:val="000000"/>
                    </w:rPr>
                    <w:t>b)</w:t>
                  </w:r>
                </w:p>
              </w:tc>
              <w:tc>
                <w:tcPr>
                  <w:tcW w:w="9772" w:type="dxa"/>
                  <w:hideMark/>
                </w:tcPr>
                <w:p w14:paraId="30D7F1E8" w14:textId="77777777" w:rsidR="00AD18BA" w:rsidRPr="00855188" w:rsidRDefault="00AD18BA" w:rsidP="00AD18BA">
                  <w:pPr>
                    <w:pStyle w:val="Normal1"/>
                    <w:rPr>
                      <w:i/>
                      <w:color w:val="000000"/>
                    </w:rPr>
                  </w:pPr>
                  <w:r w:rsidRPr="00855188">
                    <w:rPr>
                      <w:i/>
                      <w:color w:val="000000"/>
                    </w:rPr>
                    <w:t>Institutter erstatter det beløb, der er beregnet i overensstemmelse med nærværende artikels stk. 3, litra a), med summen af de forventede kredittab over 12 måneder beregnet i overensstemmelse med afsnit 5.5.5 i bilaget vedrørende IFRS 9 og størrelsen af den nedskrivning til forventede kredittab i løbetiden, der er beregnet i overensstemmelse med afsnit 5.5.3 i bilaget vedrørende IFRS 9, med undtagelse af nedskrivninger til forventede kredittab i løbetiden for finansielle aktiver, der er værdiforringede som defineret i appendiks A til bilaget vedrørende IFRS 9, med fradrag af summen af de dermed forbundne forventede tab for de samme eksponeringer beregnet i overensstemmelse med artikel 158, stk. 5, 6 og 10, fra indberetningsdatoen. Såfremt beregningen resulterer i et negativt tal, fastsætter instituttet værdien af beløbet omhandlet i nærværende artikels stk. 3, litra a), til nul.</w:t>
                  </w:r>
                </w:p>
              </w:tc>
            </w:tr>
          </w:tbl>
          <w:p w14:paraId="1F235A47"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51"/>
              <w:gridCol w:w="13142"/>
            </w:tblGrid>
            <w:tr w:rsidR="00AD18BA" w:rsidRPr="00855188" w14:paraId="0A8C9552" w14:textId="77777777">
              <w:trPr>
                <w:tblCellSpacing w:w="0" w:type="dxa"/>
              </w:trPr>
              <w:tc>
                <w:tcPr>
                  <w:tcW w:w="187" w:type="dxa"/>
                  <w:hideMark/>
                </w:tcPr>
                <w:p w14:paraId="2A4B0FF0" w14:textId="77777777" w:rsidR="00AD18BA" w:rsidRPr="00855188" w:rsidRDefault="00AD18BA" w:rsidP="00AD18BA">
                  <w:pPr>
                    <w:pStyle w:val="Normal1"/>
                    <w:rPr>
                      <w:i/>
                      <w:color w:val="000000"/>
                    </w:rPr>
                  </w:pPr>
                  <w:r w:rsidRPr="00855188">
                    <w:rPr>
                      <w:i/>
                      <w:color w:val="000000"/>
                    </w:rPr>
                    <w:lastRenderedPageBreak/>
                    <w:t>c)</w:t>
                  </w:r>
                </w:p>
              </w:tc>
              <w:tc>
                <w:tcPr>
                  <w:tcW w:w="9785" w:type="dxa"/>
                  <w:hideMark/>
                </w:tcPr>
                <w:p w14:paraId="1CAF423B" w14:textId="77777777" w:rsidR="00AD18BA" w:rsidRPr="00855188" w:rsidRDefault="00AD18BA" w:rsidP="00AD18BA">
                  <w:pPr>
                    <w:pStyle w:val="Normal1"/>
                    <w:rPr>
                      <w:i/>
                      <w:color w:val="000000"/>
                    </w:rPr>
                  </w:pPr>
                  <w:r w:rsidRPr="00855188">
                    <w:rPr>
                      <w:i/>
                      <w:color w:val="000000"/>
                    </w:rPr>
                    <w:t>Institutter erstatter det beløb, der er beregnet i overensstemmelse med nærværende artikels stk. 3, litra b), med summen af de forventede kredittab over 12 måneder beregnet i overensstemmelse med afsnit 5.5.5 i bilaget vedrørende IFRS 9 og størrelsen af den nedskrivning til forventede kredittab i løbetiden, der er beregnet i overensstemmelse med afsnit 5.5.3 i bilaget vedrørende IFRS 9, med undtagelse af nedskrivninger til forventede kredittab i løbetiden for finansielle aktiver, der er værdiforringede som defineret i appendiks A til bilaget vedrørende IFRS 9, pr. 1. januar 2018 eller den dato, hvor IFRS 9 anvendes første gang, med fradrag af summen af de dermed forbundne forventede tab for de samme eksponeringer beregnet i overensstemmelse med artikel 158, stk. 5, 6 og 10. Såfremt beregningen resulterer i et negativt tal, fastsætter instituttet værdien af beløbet omhandlet i nærværende artikels stk. 3, litra b), til nul.</w:t>
                  </w:r>
                </w:p>
              </w:tc>
            </w:tr>
          </w:tbl>
          <w:p w14:paraId="4E4933FE" w14:textId="77777777" w:rsidR="00AD18BA" w:rsidRPr="00855188" w:rsidRDefault="00AD18BA" w:rsidP="00AD18BA">
            <w:pPr>
              <w:pStyle w:val="Normal1"/>
              <w:rPr>
                <w:i/>
                <w:color w:val="000000"/>
              </w:rPr>
            </w:pPr>
            <w:r w:rsidRPr="00855188">
              <w:rPr>
                <w:i/>
                <w:color w:val="000000"/>
              </w:rPr>
              <w:t>6.   Institutter anvender følgende faktorer til beregning af de beløb AB</w:t>
            </w:r>
            <w:r w:rsidRPr="00855188">
              <w:rPr>
                <w:rStyle w:val="sub"/>
                <w:i/>
                <w:color w:val="000000"/>
              </w:rPr>
              <w:t>SA</w:t>
            </w:r>
            <w:r w:rsidRPr="00855188">
              <w:rPr>
                <w:i/>
                <w:color w:val="000000"/>
              </w:rPr>
              <w:t xml:space="preserve"> og AB</w:t>
            </w:r>
            <w:r w:rsidRPr="00855188">
              <w:rPr>
                <w:rStyle w:val="sub"/>
                <w:i/>
                <w:color w:val="000000"/>
              </w:rPr>
              <w:t>IRB</w:t>
            </w:r>
            <w:r w:rsidRPr="00855188">
              <w:rPr>
                <w:i/>
                <w:color w:val="000000"/>
              </w:rPr>
              <w:t>, der er omhandlet i henholdsvis stk. 1, andet afsnit, litra a) og b):</w:t>
            </w:r>
          </w:p>
          <w:tbl>
            <w:tblPr>
              <w:tblW w:w="5000" w:type="pct"/>
              <w:tblCellSpacing w:w="0" w:type="dxa"/>
              <w:tblLayout w:type="fixed"/>
              <w:tblCellMar>
                <w:left w:w="0" w:type="dxa"/>
                <w:right w:w="0" w:type="dxa"/>
              </w:tblCellMar>
              <w:tblLook w:val="04A0" w:firstRow="1" w:lastRow="0" w:firstColumn="1" w:lastColumn="0" w:noHBand="0" w:noVBand="1"/>
            </w:tblPr>
            <w:tblGrid>
              <w:gridCol w:w="394"/>
              <w:gridCol w:w="12999"/>
            </w:tblGrid>
            <w:tr w:rsidR="00AD18BA" w:rsidRPr="00855188" w14:paraId="5BBECDBB" w14:textId="77777777">
              <w:trPr>
                <w:tblCellSpacing w:w="0" w:type="dxa"/>
              </w:trPr>
              <w:tc>
                <w:tcPr>
                  <w:tcW w:w="293" w:type="dxa"/>
                  <w:hideMark/>
                </w:tcPr>
                <w:p w14:paraId="695C82DE" w14:textId="77777777" w:rsidR="00AD18BA" w:rsidRPr="00855188" w:rsidRDefault="00AD18BA" w:rsidP="00AD18BA">
                  <w:pPr>
                    <w:pStyle w:val="Normal1"/>
                    <w:rPr>
                      <w:i/>
                      <w:color w:val="000000"/>
                    </w:rPr>
                  </w:pPr>
                  <w:r w:rsidRPr="00855188">
                    <w:rPr>
                      <w:i/>
                      <w:color w:val="000000"/>
                    </w:rPr>
                    <w:t>a)</w:t>
                  </w:r>
                </w:p>
              </w:tc>
              <w:tc>
                <w:tcPr>
                  <w:tcW w:w="9679" w:type="dxa"/>
                  <w:hideMark/>
                </w:tcPr>
                <w:p w14:paraId="1D15788F" w14:textId="77777777" w:rsidR="00AD18BA" w:rsidRPr="00855188" w:rsidRDefault="00AD18BA" w:rsidP="00AD18BA">
                  <w:pPr>
                    <w:pStyle w:val="Normal1"/>
                    <w:rPr>
                      <w:i/>
                      <w:color w:val="000000"/>
                    </w:rPr>
                  </w:pPr>
                  <w:r w:rsidRPr="00855188">
                    <w:rPr>
                      <w:i/>
                      <w:color w:val="000000"/>
                    </w:rPr>
                    <w:t>0,95 i perioden fra den 1. januar 2018 til den 31. december 2018</w:t>
                  </w:r>
                </w:p>
              </w:tc>
            </w:tr>
          </w:tbl>
          <w:p w14:paraId="41E75939"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420"/>
              <w:gridCol w:w="12973"/>
            </w:tblGrid>
            <w:tr w:rsidR="00AD18BA" w:rsidRPr="00855188" w14:paraId="640888AF" w14:textId="77777777">
              <w:trPr>
                <w:tblCellSpacing w:w="0" w:type="dxa"/>
              </w:trPr>
              <w:tc>
                <w:tcPr>
                  <w:tcW w:w="313" w:type="dxa"/>
                  <w:hideMark/>
                </w:tcPr>
                <w:p w14:paraId="6356B4D3" w14:textId="77777777" w:rsidR="00AD18BA" w:rsidRPr="00855188" w:rsidRDefault="00AD18BA" w:rsidP="00AD18BA">
                  <w:pPr>
                    <w:pStyle w:val="Normal1"/>
                    <w:rPr>
                      <w:i/>
                      <w:color w:val="000000"/>
                    </w:rPr>
                  </w:pPr>
                  <w:r w:rsidRPr="00855188">
                    <w:rPr>
                      <w:i/>
                      <w:color w:val="000000"/>
                    </w:rPr>
                    <w:t>b)</w:t>
                  </w:r>
                </w:p>
              </w:tc>
              <w:tc>
                <w:tcPr>
                  <w:tcW w:w="9659" w:type="dxa"/>
                  <w:hideMark/>
                </w:tcPr>
                <w:p w14:paraId="1063E9AF" w14:textId="77777777" w:rsidR="00AD18BA" w:rsidRPr="00855188" w:rsidRDefault="00AD18BA" w:rsidP="00AD18BA">
                  <w:pPr>
                    <w:pStyle w:val="Normal1"/>
                    <w:rPr>
                      <w:i/>
                      <w:color w:val="000000"/>
                    </w:rPr>
                  </w:pPr>
                  <w:r w:rsidRPr="00855188">
                    <w:rPr>
                      <w:i/>
                      <w:color w:val="000000"/>
                    </w:rPr>
                    <w:t>0,85 i perioden fra den 1. januar 2019 til den 31. december 2019</w:t>
                  </w:r>
                </w:p>
              </w:tc>
            </w:tr>
          </w:tbl>
          <w:p w14:paraId="36707E90"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402"/>
              <w:gridCol w:w="12991"/>
            </w:tblGrid>
            <w:tr w:rsidR="00AD18BA" w:rsidRPr="00855188" w14:paraId="01AD9D31" w14:textId="77777777">
              <w:trPr>
                <w:tblCellSpacing w:w="0" w:type="dxa"/>
              </w:trPr>
              <w:tc>
                <w:tcPr>
                  <w:tcW w:w="299" w:type="dxa"/>
                  <w:hideMark/>
                </w:tcPr>
                <w:p w14:paraId="14B41DC0" w14:textId="77777777" w:rsidR="00AD18BA" w:rsidRPr="00855188" w:rsidRDefault="00AD18BA" w:rsidP="00AD18BA">
                  <w:pPr>
                    <w:pStyle w:val="Normal1"/>
                    <w:rPr>
                      <w:i/>
                      <w:color w:val="000000"/>
                    </w:rPr>
                  </w:pPr>
                  <w:r w:rsidRPr="00855188">
                    <w:rPr>
                      <w:i/>
                      <w:color w:val="000000"/>
                    </w:rPr>
                    <w:t>c)</w:t>
                  </w:r>
                </w:p>
              </w:tc>
              <w:tc>
                <w:tcPr>
                  <w:tcW w:w="9673" w:type="dxa"/>
                  <w:hideMark/>
                </w:tcPr>
                <w:p w14:paraId="5CE61482" w14:textId="77777777" w:rsidR="00AD18BA" w:rsidRPr="00855188" w:rsidRDefault="00AD18BA" w:rsidP="00AD18BA">
                  <w:pPr>
                    <w:pStyle w:val="Normal1"/>
                    <w:rPr>
                      <w:i/>
                      <w:color w:val="000000"/>
                    </w:rPr>
                  </w:pPr>
                  <w:r w:rsidRPr="00855188">
                    <w:rPr>
                      <w:i/>
                      <w:color w:val="000000"/>
                    </w:rPr>
                    <w:t>0,7 i perioden fra den 1. januar 2020 til den 31. december 2020</w:t>
                  </w:r>
                </w:p>
              </w:tc>
            </w:tr>
          </w:tbl>
          <w:p w14:paraId="7C740BBB"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428"/>
              <w:gridCol w:w="12965"/>
            </w:tblGrid>
            <w:tr w:rsidR="00AD18BA" w:rsidRPr="00855188" w14:paraId="0A47BA0B" w14:textId="77777777">
              <w:trPr>
                <w:tblCellSpacing w:w="0" w:type="dxa"/>
              </w:trPr>
              <w:tc>
                <w:tcPr>
                  <w:tcW w:w="319" w:type="dxa"/>
                  <w:hideMark/>
                </w:tcPr>
                <w:p w14:paraId="0AF30837" w14:textId="77777777" w:rsidR="00AD18BA" w:rsidRPr="00855188" w:rsidRDefault="00AD18BA" w:rsidP="00AD18BA">
                  <w:pPr>
                    <w:pStyle w:val="Normal1"/>
                    <w:rPr>
                      <w:i/>
                      <w:color w:val="000000"/>
                    </w:rPr>
                  </w:pPr>
                  <w:r w:rsidRPr="00855188">
                    <w:rPr>
                      <w:i/>
                      <w:color w:val="000000"/>
                    </w:rPr>
                    <w:t>d)</w:t>
                  </w:r>
                </w:p>
              </w:tc>
              <w:tc>
                <w:tcPr>
                  <w:tcW w:w="9653" w:type="dxa"/>
                  <w:hideMark/>
                </w:tcPr>
                <w:p w14:paraId="288ED32A" w14:textId="77777777" w:rsidR="00AD18BA" w:rsidRPr="00855188" w:rsidRDefault="00AD18BA" w:rsidP="00AD18BA">
                  <w:pPr>
                    <w:pStyle w:val="Normal1"/>
                    <w:rPr>
                      <w:i/>
                      <w:color w:val="000000"/>
                    </w:rPr>
                  </w:pPr>
                  <w:r w:rsidRPr="00855188">
                    <w:rPr>
                      <w:i/>
                      <w:color w:val="000000"/>
                    </w:rPr>
                    <w:t>0,5 i perioden fra den 1. januar 2021 til den 31. december 2021</w:t>
                  </w:r>
                </w:p>
              </w:tc>
            </w:tr>
          </w:tbl>
          <w:p w14:paraId="7CB8EBEB"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389"/>
              <w:gridCol w:w="13004"/>
            </w:tblGrid>
            <w:tr w:rsidR="00AD18BA" w:rsidRPr="00855188" w14:paraId="12453E2F" w14:textId="77777777">
              <w:trPr>
                <w:tblCellSpacing w:w="0" w:type="dxa"/>
              </w:trPr>
              <w:tc>
                <w:tcPr>
                  <w:tcW w:w="290" w:type="dxa"/>
                  <w:hideMark/>
                </w:tcPr>
                <w:p w14:paraId="5D3F91DA" w14:textId="77777777" w:rsidR="00AD18BA" w:rsidRPr="00855188" w:rsidRDefault="00AD18BA" w:rsidP="00AD18BA">
                  <w:pPr>
                    <w:pStyle w:val="Normal1"/>
                    <w:rPr>
                      <w:i/>
                      <w:color w:val="000000"/>
                    </w:rPr>
                  </w:pPr>
                  <w:r w:rsidRPr="00855188">
                    <w:rPr>
                      <w:i/>
                      <w:color w:val="000000"/>
                    </w:rPr>
                    <w:t>e)</w:t>
                  </w:r>
                </w:p>
              </w:tc>
              <w:tc>
                <w:tcPr>
                  <w:tcW w:w="9682" w:type="dxa"/>
                  <w:hideMark/>
                </w:tcPr>
                <w:p w14:paraId="6ACB3F38" w14:textId="77777777" w:rsidR="00AD18BA" w:rsidRPr="00855188" w:rsidRDefault="00AD18BA" w:rsidP="00AD18BA">
                  <w:pPr>
                    <w:pStyle w:val="Normal1"/>
                    <w:rPr>
                      <w:i/>
                      <w:color w:val="000000"/>
                    </w:rPr>
                  </w:pPr>
                  <w:r w:rsidRPr="00855188">
                    <w:rPr>
                      <w:i/>
                      <w:color w:val="000000"/>
                    </w:rPr>
                    <w:t>0,25 i perioden fra den 1. januar 2022 til den 31. december 2022.</w:t>
                  </w:r>
                </w:p>
              </w:tc>
            </w:tr>
          </w:tbl>
          <w:p w14:paraId="056F47DA" w14:textId="77777777" w:rsidR="00AD18BA" w:rsidRPr="00855188" w:rsidRDefault="00AD18BA" w:rsidP="00AD18BA">
            <w:pPr>
              <w:pStyle w:val="Normal1"/>
              <w:rPr>
                <w:i/>
                <w:color w:val="000000"/>
              </w:rPr>
            </w:pPr>
            <w:r w:rsidRPr="00855188">
              <w:rPr>
                <w:i/>
                <w:color w:val="000000"/>
              </w:rPr>
              <w:t>Institutter, hvis regnskabsår begynder efter den 1. januar 2018, men inden den 1. januar 2019, skal tilpasse datoerne i første afsnit, litra a)-e), så de svarer til deres regnskabsår, indberette de justerede datoer til deres kompetente myndighed og offentliggøre dem.</w:t>
            </w:r>
          </w:p>
          <w:p w14:paraId="19242135" w14:textId="77777777" w:rsidR="00AD18BA" w:rsidRPr="00855188" w:rsidRDefault="00AD18BA" w:rsidP="00AD18BA">
            <w:pPr>
              <w:pStyle w:val="Normal1"/>
              <w:rPr>
                <w:i/>
                <w:color w:val="000000"/>
              </w:rPr>
            </w:pPr>
            <w:r w:rsidRPr="00855188">
              <w:rPr>
                <w:i/>
                <w:color w:val="000000"/>
              </w:rPr>
              <w:t>Institutter, der begynder at anvende regnskabsstandarder som omhandlet i stk. 1 den 1. januar 2019 eller derefter, skal anvende de relevante faktorer i overensstemmelse med første afsnit, litra b)-e), så de starter med den faktor, der svarer til året for den første anvendelse af disse regnskabsstandarder.</w:t>
            </w:r>
          </w:p>
          <w:p w14:paraId="1A1AABC6" w14:textId="77777777" w:rsidR="00AD18BA" w:rsidRPr="00855188" w:rsidRDefault="00AD18BA" w:rsidP="00AD18BA">
            <w:pPr>
              <w:pStyle w:val="Normal1"/>
              <w:rPr>
                <w:i/>
                <w:color w:val="000000"/>
              </w:rPr>
            </w:pPr>
            <w:r w:rsidRPr="00855188">
              <w:rPr>
                <w:i/>
                <w:color w:val="000000"/>
              </w:rPr>
              <w:t>7.   Hvis et institut i sin egentlige kernekapital indregner et beløb i henhold til nærværende artikels stk. 1, genberegner det alle krav i denne forordning og i direktiv 2013/36/EU, som anvender en af følgende poster, ved ikke at tage hensyn til den indvirkning, som de nedskrivninger til forventede kredittab, det har indregnet i sin egentlige kernekapital, har på disse poster:</w:t>
            </w:r>
          </w:p>
          <w:tbl>
            <w:tblPr>
              <w:tblW w:w="5000" w:type="pct"/>
              <w:tblCellSpacing w:w="0" w:type="dxa"/>
              <w:tblLayout w:type="fixed"/>
              <w:tblCellMar>
                <w:left w:w="0" w:type="dxa"/>
                <w:right w:w="0" w:type="dxa"/>
              </w:tblCellMar>
              <w:tblLook w:val="04A0" w:firstRow="1" w:lastRow="0" w:firstColumn="1" w:lastColumn="0" w:noHBand="0" w:noVBand="1"/>
            </w:tblPr>
            <w:tblGrid>
              <w:gridCol w:w="251"/>
              <w:gridCol w:w="13142"/>
            </w:tblGrid>
            <w:tr w:rsidR="00AD18BA" w:rsidRPr="00855188" w14:paraId="721F776C" w14:textId="77777777">
              <w:trPr>
                <w:tblCellSpacing w:w="0" w:type="dxa"/>
              </w:trPr>
              <w:tc>
                <w:tcPr>
                  <w:tcW w:w="187" w:type="dxa"/>
                  <w:hideMark/>
                </w:tcPr>
                <w:p w14:paraId="0C3C8347" w14:textId="77777777" w:rsidR="00AD18BA" w:rsidRPr="00855188" w:rsidRDefault="00AD18BA" w:rsidP="00AD18BA">
                  <w:pPr>
                    <w:pStyle w:val="Normal1"/>
                    <w:rPr>
                      <w:i/>
                      <w:color w:val="000000"/>
                    </w:rPr>
                  </w:pPr>
                  <w:r w:rsidRPr="00855188">
                    <w:rPr>
                      <w:i/>
                      <w:color w:val="000000"/>
                    </w:rPr>
                    <w:t>a)</w:t>
                  </w:r>
                </w:p>
              </w:tc>
              <w:tc>
                <w:tcPr>
                  <w:tcW w:w="9785" w:type="dxa"/>
                  <w:hideMark/>
                </w:tcPr>
                <w:p w14:paraId="0885050D" w14:textId="77777777" w:rsidR="00AD18BA" w:rsidRPr="00855188" w:rsidRDefault="00AD18BA" w:rsidP="00AD18BA">
                  <w:pPr>
                    <w:pStyle w:val="Normal1"/>
                    <w:rPr>
                      <w:i/>
                      <w:color w:val="000000"/>
                    </w:rPr>
                  </w:pPr>
                  <w:r w:rsidRPr="00855188">
                    <w:rPr>
                      <w:i/>
                      <w:color w:val="000000"/>
                    </w:rPr>
                    <w:t>værdien af udskudte skatteaktiver, der fradrages i den egentlige kernekapital i henhold til artikel 36, stk. 1, litra c), eller risikovægtes i henhold til artikel 48, stk. 4</w:t>
                  </w:r>
                </w:p>
              </w:tc>
            </w:tr>
          </w:tbl>
          <w:p w14:paraId="3C3550D0"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69"/>
              <w:gridCol w:w="13124"/>
            </w:tblGrid>
            <w:tr w:rsidR="00AD18BA" w:rsidRPr="00855188" w14:paraId="5A62FB57" w14:textId="77777777">
              <w:trPr>
                <w:tblCellSpacing w:w="0" w:type="dxa"/>
              </w:trPr>
              <w:tc>
                <w:tcPr>
                  <w:tcW w:w="200" w:type="dxa"/>
                  <w:hideMark/>
                </w:tcPr>
                <w:p w14:paraId="646A08A9" w14:textId="77777777" w:rsidR="00AD18BA" w:rsidRPr="00855188" w:rsidRDefault="00AD18BA" w:rsidP="00AD18BA">
                  <w:pPr>
                    <w:pStyle w:val="Normal1"/>
                    <w:rPr>
                      <w:i/>
                      <w:color w:val="000000"/>
                    </w:rPr>
                  </w:pPr>
                  <w:r w:rsidRPr="00855188">
                    <w:rPr>
                      <w:i/>
                      <w:color w:val="000000"/>
                    </w:rPr>
                    <w:lastRenderedPageBreak/>
                    <w:t>b)</w:t>
                  </w:r>
                </w:p>
              </w:tc>
              <w:tc>
                <w:tcPr>
                  <w:tcW w:w="9772" w:type="dxa"/>
                  <w:hideMark/>
                </w:tcPr>
                <w:p w14:paraId="52DB3813" w14:textId="77777777" w:rsidR="00AD18BA" w:rsidRPr="00855188" w:rsidRDefault="00AD18BA" w:rsidP="00AD18BA">
                  <w:pPr>
                    <w:pStyle w:val="Normal1"/>
                    <w:rPr>
                      <w:i/>
                      <w:color w:val="000000"/>
                    </w:rPr>
                  </w:pPr>
                  <w:r w:rsidRPr="00855188">
                    <w:rPr>
                      <w:i/>
                      <w:color w:val="000000"/>
                    </w:rPr>
                    <w:t>eksponeringsværdien som beregnet i henhold til artikel 111, stk. 1, hvorved de specifikke kreditrisikojusteringer, som eksponeringsværdien nedsættes med, multipliceres med følgende justeringsfaktor (sf):</w:t>
                  </w:r>
                </w:p>
                <w:p w14:paraId="3F031455" w14:textId="77777777" w:rsidR="00AD18BA" w:rsidRPr="00855188" w:rsidRDefault="00AD18BA" w:rsidP="00AD18BA">
                  <w:pPr>
                    <w:pStyle w:val="Normal1"/>
                    <w:rPr>
                      <w:i/>
                      <w:color w:val="000000"/>
                    </w:rPr>
                  </w:pPr>
                  <w:r w:rsidRPr="00855188">
                    <w:rPr>
                      <w:i/>
                      <w:color w:val="000000"/>
                    </w:rPr>
                    <w:t>hvor:</w:t>
                  </w:r>
                </w:p>
                <w:p w14:paraId="742FDC24" w14:textId="77777777" w:rsidR="00AD18BA" w:rsidRPr="00855188" w:rsidRDefault="00AD18BA" w:rsidP="00AD18BA">
                  <w:pPr>
                    <w:pStyle w:val="Normal1"/>
                    <w:rPr>
                      <w:i/>
                      <w:color w:val="000000"/>
                    </w:rPr>
                  </w:pPr>
                  <w:r w:rsidRPr="00855188">
                    <w:rPr>
                      <w:rStyle w:val="bold"/>
                      <w:i/>
                      <w:color w:val="000000"/>
                    </w:rPr>
                    <w:t>AB</w:t>
                  </w:r>
                  <w:r w:rsidRPr="00855188">
                    <w:rPr>
                      <w:rStyle w:val="sub"/>
                      <w:b/>
                      <w:bCs/>
                      <w:i/>
                      <w:color w:val="000000"/>
                    </w:rPr>
                    <w:t>SA</w:t>
                  </w:r>
                  <w:r w:rsidRPr="00855188">
                    <w:rPr>
                      <w:rStyle w:val="bold"/>
                      <w:i/>
                      <w:color w:val="000000"/>
                    </w:rPr>
                    <w:t xml:space="preserve"> </w:t>
                  </w:r>
                  <w:r w:rsidRPr="00855188">
                    <w:rPr>
                      <w:i/>
                      <w:color w:val="000000"/>
                    </w:rPr>
                    <w:t>= beløb beregnet i henhold til stk. 1, andet afsnit, litra a)</w:t>
                  </w:r>
                </w:p>
                <w:p w14:paraId="6B1D340E" w14:textId="77777777" w:rsidR="00AD18BA" w:rsidRPr="00855188" w:rsidRDefault="00AD18BA" w:rsidP="00AD18BA">
                  <w:pPr>
                    <w:pStyle w:val="Normal1"/>
                    <w:rPr>
                      <w:i/>
                      <w:color w:val="000000"/>
                    </w:rPr>
                  </w:pPr>
                  <w:r w:rsidRPr="00855188">
                    <w:rPr>
                      <w:rStyle w:val="bold"/>
                      <w:i/>
                      <w:color w:val="000000"/>
                    </w:rPr>
                    <w:t>RA</w:t>
                  </w:r>
                  <w:r w:rsidRPr="00855188">
                    <w:rPr>
                      <w:rStyle w:val="sub"/>
                      <w:b/>
                      <w:bCs/>
                      <w:i/>
                      <w:color w:val="000000"/>
                    </w:rPr>
                    <w:t>SA</w:t>
                  </w:r>
                  <w:r w:rsidRPr="00855188">
                    <w:rPr>
                      <w:rStyle w:val="bold"/>
                      <w:i/>
                      <w:color w:val="000000"/>
                    </w:rPr>
                    <w:t xml:space="preserve"> </w:t>
                  </w:r>
                  <w:r w:rsidRPr="00855188">
                    <w:rPr>
                      <w:i/>
                      <w:color w:val="000000"/>
                    </w:rPr>
                    <w:t>= den samlede værdi af de specifikke kreditrisikojusteringer</w:t>
                  </w:r>
                </w:p>
              </w:tc>
            </w:tr>
          </w:tbl>
          <w:p w14:paraId="225114FF" w14:textId="77777777" w:rsidR="00AD18BA" w:rsidRPr="00855188" w:rsidRDefault="00AD18BA" w:rsidP="00AD18BA">
            <w:pPr>
              <w:rPr>
                <w:i/>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283"/>
              <w:gridCol w:w="13110"/>
            </w:tblGrid>
            <w:tr w:rsidR="00AD18BA" w:rsidRPr="00855188" w14:paraId="54444EB8" w14:textId="77777777">
              <w:trPr>
                <w:tblCellSpacing w:w="0" w:type="dxa"/>
              </w:trPr>
              <w:tc>
                <w:tcPr>
                  <w:tcW w:w="211" w:type="dxa"/>
                  <w:hideMark/>
                </w:tcPr>
                <w:p w14:paraId="1B9F2CB1" w14:textId="77777777" w:rsidR="00AD18BA" w:rsidRPr="00855188" w:rsidRDefault="00AD18BA" w:rsidP="00AD18BA">
                  <w:pPr>
                    <w:pStyle w:val="Normal1"/>
                    <w:rPr>
                      <w:i/>
                      <w:color w:val="000000"/>
                    </w:rPr>
                  </w:pPr>
                  <w:r w:rsidRPr="00855188">
                    <w:rPr>
                      <w:i/>
                      <w:color w:val="000000"/>
                    </w:rPr>
                    <w:t>c)</w:t>
                  </w:r>
                </w:p>
              </w:tc>
              <w:tc>
                <w:tcPr>
                  <w:tcW w:w="9761" w:type="dxa"/>
                  <w:hideMark/>
                </w:tcPr>
                <w:p w14:paraId="448242AA" w14:textId="77777777" w:rsidR="00AD18BA" w:rsidRPr="00855188" w:rsidRDefault="00AD18BA" w:rsidP="00AD18BA">
                  <w:pPr>
                    <w:pStyle w:val="Normal1"/>
                    <w:rPr>
                      <w:i/>
                      <w:color w:val="000000"/>
                    </w:rPr>
                  </w:pPr>
                  <w:r w:rsidRPr="00855188">
                    <w:rPr>
                      <w:i/>
                      <w:color w:val="000000"/>
                    </w:rPr>
                    <w:t>værdien af supplerende kapitalposter beregnet i overensstemmelse med artikel 62, litra d).</w:t>
                  </w:r>
                </w:p>
              </w:tc>
            </w:tr>
          </w:tbl>
          <w:p w14:paraId="5B8CD650" w14:textId="77777777" w:rsidR="00AD18BA" w:rsidRPr="00855188" w:rsidRDefault="00AD18BA" w:rsidP="00FB3F2C">
            <w:pPr>
              <w:snapToGrid w:val="0"/>
              <w:rPr>
                <w:i/>
              </w:rPr>
            </w:pPr>
          </w:p>
          <w:p w14:paraId="4506A35D" w14:textId="576B12E4" w:rsidR="00FB3F2C" w:rsidRPr="00113BE6" w:rsidRDefault="00B75A05" w:rsidP="00FB3F2C">
            <w:pPr>
              <w:snapToGrid w:val="0"/>
              <w:rPr>
                <w:i/>
              </w:rPr>
            </w:pPr>
            <w:r w:rsidRPr="00855188">
              <w:rPr>
                <w:i/>
              </w:rPr>
              <w:t>Stk. 8-10 er ikke gengivet her.</w:t>
            </w:r>
          </w:p>
        </w:tc>
      </w:tr>
      <w:tr w:rsidR="00A93AF9" w:rsidRPr="00270255" w14:paraId="00961FC9" w14:textId="77777777" w:rsidTr="00907A1A">
        <w:tc>
          <w:tcPr>
            <w:tcW w:w="3544" w:type="dxa"/>
          </w:tcPr>
          <w:p w14:paraId="225CD625" w14:textId="77777777" w:rsidR="00A93AF9" w:rsidRDefault="00A93AF9" w:rsidP="00A93AF9">
            <w:pPr>
              <w:rPr>
                <w:b/>
                <w:u w:val="single"/>
              </w:rPr>
            </w:pPr>
            <w:r w:rsidRPr="00855188">
              <w:rPr>
                <w:b/>
                <w:u w:val="single"/>
              </w:rPr>
              <w:lastRenderedPageBreak/>
              <w:t>Spørgsmål 11.2:</w:t>
            </w:r>
          </w:p>
          <w:p w14:paraId="5E90133F" w14:textId="77777777" w:rsidR="00A93AF9" w:rsidRDefault="00FB3F2C" w:rsidP="00FB3F2C">
            <w:r w:rsidRPr="00FB3F2C">
              <w:t>Gør instituttet</w:t>
            </w:r>
            <w:r>
              <w:t xml:space="preserve"> brug af overgangsordningen i artikel 473a, stk. 2 (statisk effekt</w:t>
            </w:r>
            <w:r w:rsidR="00F706E8">
              <w:t xml:space="preserve"> ved årsskiftet 2017/2018</w:t>
            </w:r>
            <w:r>
              <w:t>)?</w:t>
            </w:r>
          </w:p>
          <w:p w14:paraId="583F2E81" w14:textId="77777777" w:rsidR="00FB3F2C" w:rsidRPr="00270255" w:rsidRDefault="00FB3F2C" w:rsidP="00FB3F2C"/>
        </w:tc>
        <w:tc>
          <w:tcPr>
            <w:tcW w:w="851" w:type="dxa"/>
          </w:tcPr>
          <w:p w14:paraId="0AE7E3CF" w14:textId="77777777" w:rsidR="00A93AF9" w:rsidRPr="00270255" w:rsidRDefault="00A93AF9" w:rsidP="00A93AF9">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D1B209C" w14:textId="77777777" w:rsidR="00A93AF9" w:rsidRPr="00270255" w:rsidRDefault="00A93AF9" w:rsidP="00A93AF9"/>
        </w:tc>
        <w:tc>
          <w:tcPr>
            <w:tcW w:w="6946" w:type="dxa"/>
          </w:tcPr>
          <w:p w14:paraId="14BF0B84" w14:textId="77777777" w:rsidR="00A93AF9" w:rsidRPr="00270255" w:rsidRDefault="00A93AF9" w:rsidP="00A93AF9">
            <w:pPr>
              <w:snapToGrid w:val="0"/>
            </w:pPr>
            <w:r w:rsidRPr="00270255">
              <w:t>Redegørelse</w:t>
            </w:r>
          </w:p>
          <w:p w14:paraId="002990C3" w14:textId="77777777" w:rsidR="00A93AF9" w:rsidRPr="00270255" w:rsidRDefault="00A93AF9" w:rsidP="00A93AF9">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55A33918" w14:textId="77777777" w:rsidR="00A93AF9" w:rsidRPr="00270255" w:rsidRDefault="00A93AF9" w:rsidP="00A93AF9">
            <w:pPr>
              <w:snapToGrid w:val="0"/>
            </w:pPr>
          </w:p>
        </w:tc>
        <w:tc>
          <w:tcPr>
            <w:tcW w:w="2268" w:type="dxa"/>
          </w:tcPr>
          <w:p w14:paraId="71D226A8" w14:textId="77777777" w:rsidR="00A93AF9" w:rsidRPr="00270255" w:rsidRDefault="00A93AF9" w:rsidP="00A93AF9">
            <w:pPr>
              <w:snapToGrid w:val="0"/>
            </w:pPr>
            <w:r w:rsidRPr="00270255">
              <w:t>Forbeholdt Finanstilsynet</w:t>
            </w:r>
          </w:p>
          <w:p w14:paraId="2621FA90" w14:textId="77777777" w:rsidR="00A93AF9" w:rsidRPr="00270255" w:rsidRDefault="00A93AF9" w:rsidP="00A93AF9">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FB3F2C" w:rsidRPr="00270255" w14:paraId="7D57486E" w14:textId="77777777" w:rsidTr="00907A1A">
        <w:tc>
          <w:tcPr>
            <w:tcW w:w="3544" w:type="dxa"/>
          </w:tcPr>
          <w:p w14:paraId="1A4E21B6" w14:textId="77777777" w:rsidR="00FB3F2C" w:rsidRDefault="00FB3F2C" w:rsidP="00FB3F2C">
            <w:pPr>
              <w:rPr>
                <w:b/>
                <w:u w:val="single"/>
              </w:rPr>
            </w:pPr>
            <w:r w:rsidRPr="00855188">
              <w:rPr>
                <w:b/>
                <w:u w:val="single"/>
              </w:rPr>
              <w:t>Spørgsmål 11.</w:t>
            </w:r>
            <w:r w:rsidR="00E16BD8" w:rsidRPr="00855188">
              <w:rPr>
                <w:b/>
                <w:u w:val="single"/>
              </w:rPr>
              <w:t>3</w:t>
            </w:r>
            <w:r w:rsidRPr="00855188">
              <w:rPr>
                <w:b/>
                <w:u w:val="single"/>
              </w:rPr>
              <w:t>:</w:t>
            </w:r>
          </w:p>
          <w:p w14:paraId="427005BB" w14:textId="77777777" w:rsidR="00FB3F2C" w:rsidRDefault="00FB3F2C" w:rsidP="00FB3F2C">
            <w:r w:rsidRPr="00FB3F2C">
              <w:t>Gør instituttet</w:t>
            </w:r>
            <w:r>
              <w:t xml:space="preserve"> brug af overgangsordningen i artikel 473a, stk. 4 (dynamisk effekt</w:t>
            </w:r>
            <w:r w:rsidR="00F706E8">
              <w:t xml:space="preserve"> fra primo 2018 til ultimo </w:t>
            </w:r>
            <w:r w:rsidR="00E16BD8">
              <w:t>22</w:t>
            </w:r>
            <w:r>
              <w:t>)?</w:t>
            </w:r>
          </w:p>
          <w:p w14:paraId="5E98A844" w14:textId="77777777" w:rsidR="00FB3F2C" w:rsidRPr="00270255" w:rsidRDefault="00FB3F2C" w:rsidP="00FB3F2C"/>
        </w:tc>
        <w:tc>
          <w:tcPr>
            <w:tcW w:w="851" w:type="dxa"/>
          </w:tcPr>
          <w:p w14:paraId="217C2C3F" w14:textId="77777777" w:rsidR="00FB3F2C" w:rsidRPr="00270255" w:rsidRDefault="00FB3F2C" w:rsidP="00FB3F2C">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33BA23CF" w14:textId="77777777" w:rsidR="00FB3F2C" w:rsidRPr="00270255" w:rsidRDefault="00FB3F2C" w:rsidP="00FB3F2C"/>
        </w:tc>
        <w:tc>
          <w:tcPr>
            <w:tcW w:w="6946" w:type="dxa"/>
          </w:tcPr>
          <w:p w14:paraId="06FC9B83" w14:textId="77777777" w:rsidR="00FB3F2C" w:rsidRPr="00270255" w:rsidRDefault="00FB3F2C" w:rsidP="00FB3F2C">
            <w:pPr>
              <w:snapToGrid w:val="0"/>
            </w:pPr>
            <w:r w:rsidRPr="00270255">
              <w:t>Redegørelse</w:t>
            </w:r>
          </w:p>
          <w:p w14:paraId="23E6A5DE" w14:textId="77777777" w:rsidR="00FB3F2C" w:rsidRPr="00270255" w:rsidRDefault="00FB3F2C" w:rsidP="00FB3F2C">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6275EEBE" w14:textId="77777777" w:rsidR="00FB3F2C" w:rsidRPr="00270255" w:rsidRDefault="00FB3F2C" w:rsidP="00FB3F2C">
            <w:pPr>
              <w:snapToGrid w:val="0"/>
            </w:pPr>
          </w:p>
        </w:tc>
        <w:tc>
          <w:tcPr>
            <w:tcW w:w="2268" w:type="dxa"/>
          </w:tcPr>
          <w:p w14:paraId="6154D898" w14:textId="77777777" w:rsidR="00FB3F2C" w:rsidRPr="00270255" w:rsidRDefault="00FB3F2C" w:rsidP="00FB3F2C">
            <w:pPr>
              <w:snapToGrid w:val="0"/>
            </w:pPr>
            <w:r w:rsidRPr="00270255">
              <w:t>Forbeholdt Finanstilsynet</w:t>
            </w:r>
          </w:p>
          <w:p w14:paraId="0F063CCD" w14:textId="77777777" w:rsidR="00FB3F2C" w:rsidRPr="00270255" w:rsidRDefault="00FB3F2C" w:rsidP="00FB3F2C">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E16BD8" w:rsidRPr="00270255" w14:paraId="7BE78CF6" w14:textId="77777777" w:rsidTr="00907A1A">
        <w:tc>
          <w:tcPr>
            <w:tcW w:w="3544" w:type="dxa"/>
          </w:tcPr>
          <w:p w14:paraId="18829A80" w14:textId="77777777" w:rsidR="00E16BD8" w:rsidRDefault="00E16BD8" w:rsidP="00E16BD8">
            <w:pPr>
              <w:rPr>
                <w:b/>
                <w:u w:val="single"/>
              </w:rPr>
            </w:pPr>
            <w:r w:rsidRPr="00855188">
              <w:rPr>
                <w:b/>
                <w:u w:val="single"/>
              </w:rPr>
              <w:t>Spørgsmål 11.4:</w:t>
            </w:r>
          </w:p>
          <w:p w14:paraId="656DE1C3" w14:textId="77777777" w:rsidR="00E16BD8" w:rsidRDefault="00E16BD8" w:rsidP="00E16BD8">
            <w:r>
              <w:t>Har instituttet fratrukket den skattemæssige effekt (t) ved beregningen af tillægget, jf. formlerne i artikel 473a, stk. 1.</w:t>
            </w:r>
          </w:p>
          <w:p w14:paraId="437AD7B2" w14:textId="77777777" w:rsidR="00855188" w:rsidRPr="00A93AF9" w:rsidRDefault="00855188" w:rsidP="00E16BD8">
            <w:pPr>
              <w:rPr>
                <w:b/>
                <w:highlight w:val="yellow"/>
                <w:u w:val="single"/>
              </w:rPr>
            </w:pPr>
          </w:p>
        </w:tc>
        <w:tc>
          <w:tcPr>
            <w:tcW w:w="851" w:type="dxa"/>
          </w:tcPr>
          <w:p w14:paraId="5AB1AA0B" w14:textId="77777777" w:rsidR="00E16BD8" w:rsidRPr="00270255" w:rsidRDefault="00E16BD8" w:rsidP="00E16BD8">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6CD554CA" w14:textId="77777777" w:rsidR="00E16BD8" w:rsidRPr="00270255" w:rsidRDefault="00E16BD8" w:rsidP="00E16BD8"/>
        </w:tc>
        <w:tc>
          <w:tcPr>
            <w:tcW w:w="6946" w:type="dxa"/>
          </w:tcPr>
          <w:p w14:paraId="4F22BFB2" w14:textId="77777777" w:rsidR="00E16BD8" w:rsidRPr="00270255" w:rsidRDefault="00E16BD8" w:rsidP="00E16BD8">
            <w:pPr>
              <w:snapToGrid w:val="0"/>
            </w:pPr>
            <w:r w:rsidRPr="00270255">
              <w:t>Redegørelse</w:t>
            </w:r>
          </w:p>
          <w:p w14:paraId="0320E250" w14:textId="77777777" w:rsidR="00E16BD8" w:rsidRPr="00270255" w:rsidRDefault="00E16BD8" w:rsidP="00E16BD8">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1F96D7F4" w14:textId="77777777" w:rsidR="00E16BD8" w:rsidRPr="00270255" w:rsidRDefault="00E16BD8" w:rsidP="00E16BD8">
            <w:pPr>
              <w:snapToGrid w:val="0"/>
            </w:pPr>
          </w:p>
        </w:tc>
        <w:tc>
          <w:tcPr>
            <w:tcW w:w="2268" w:type="dxa"/>
          </w:tcPr>
          <w:p w14:paraId="78E76AA8" w14:textId="77777777" w:rsidR="00E16BD8" w:rsidRPr="00270255" w:rsidRDefault="00E16BD8" w:rsidP="00E16BD8">
            <w:pPr>
              <w:snapToGrid w:val="0"/>
            </w:pPr>
            <w:r w:rsidRPr="00270255">
              <w:t>Forbeholdt Finanstilsynet</w:t>
            </w:r>
          </w:p>
          <w:p w14:paraId="60F396A8" w14:textId="77777777" w:rsidR="00E16BD8" w:rsidRPr="00270255" w:rsidRDefault="00E16BD8" w:rsidP="00E16BD8">
            <w:pPr>
              <w:snapToGrid w:val="0"/>
            </w:pPr>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AD18BA" w:rsidRPr="00270255" w14:paraId="5F47D1C6" w14:textId="77777777" w:rsidTr="00907A1A">
        <w:tc>
          <w:tcPr>
            <w:tcW w:w="3544" w:type="dxa"/>
          </w:tcPr>
          <w:p w14:paraId="7D17A2B7" w14:textId="77777777" w:rsidR="00AD18BA" w:rsidRDefault="00AD18BA" w:rsidP="00AD18BA">
            <w:pPr>
              <w:rPr>
                <w:b/>
                <w:u w:val="single"/>
              </w:rPr>
            </w:pPr>
            <w:r w:rsidRPr="00855188">
              <w:rPr>
                <w:b/>
                <w:u w:val="single"/>
              </w:rPr>
              <w:t>Spørgsmål 11.5:</w:t>
            </w:r>
          </w:p>
          <w:p w14:paraId="0ECA2F4F" w14:textId="77777777" w:rsidR="00AD18BA" w:rsidRDefault="00AD18BA" w:rsidP="00AD18BA">
            <w:r>
              <w:t>Har instituttet genberegnet krav i CRR of CRD som anført i artikel 473a, stk. 7.</w:t>
            </w:r>
          </w:p>
          <w:p w14:paraId="7D85A1AB" w14:textId="77777777" w:rsidR="00855188" w:rsidRPr="00A93AF9" w:rsidRDefault="00855188" w:rsidP="00AD18BA">
            <w:pPr>
              <w:rPr>
                <w:b/>
                <w:highlight w:val="yellow"/>
                <w:u w:val="single"/>
              </w:rPr>
            </w:pPr>
          </w:p>
        </w:tc>
        <w:tc>
          <w:tcPr>
            <w:tcW w:w="851" w:type="dxa"/>
          </w:tcPr>
          <w:p w14:paraId="0A981143" w14:textId="77777777" w:rsidR="00AD18BA" w:rsidRPr="00270255" w:rsidRDefault="00AD18BA" w:rsidP="00AD18BA">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06DAFFCD" w14:textId="77777777" w:rsidR="00AD18BA" w:rsidRPr="00270255" w:rsidRDefault="00AD18BA" w:rsidP="00AD18BA"/>
        </w:tc>
        <w:tc>
          <w:tcPr>
            <w:tcW w:w="6946" w:type="dxa"/>
          </w:tcPr>
          <w:p w14:paraId="1A940164" w14:textId="77777777" w:rsidR="00AD18BA" w:rsidRPr="00270255" w:rsidRDefault="00AD18BA" w:rsidP="00AD18BA">
            <w:pPr>
              <w:snapToGrid w:val="0"/>
            </w:pPr>
            <w:r w:rsidRPr="00270255">
              <w:t>Redegørelse</w:t>
            </w:r>
          </w:p>
          <w:p w14:paraId="3B06095C" w14:textId="77777777" w:rsidR="00AD18BA" w:rsidRPr="00270255" w:rsidRDefault="00AD18BA" w:rsidP="00AD18B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71A1D274" w14:textId="77777777" w:rsidR="00AD18BA" w:rsidRPr="00270255" w:rsidRDefault="00AD18BA" w:rsidP="00AD18BA">
            <w:pPr>
              <w:snapToGrid w:val="0"/>
            </w:pPr>
          </w:p>
        </w:tc>
        <w:tc>
          <w:tcPr>
            <w:tcW w:w="2268" w:type="dxa"/>
          </w:tcPr>
          <w:p w14:paraId="6813A9A5" w14:textId="77777777" w:rsidR="00AD18BA" w:rsidRPr="00270255" w:rsidRDefault="00AD18BA" w:rsidP="00AD18BA">
            <w:pPr>
              <w:snapToGrid w:val="0"/>
            </w:pPr>
            <w:r w:rsidRPr="00270255">
              <w:t>Forbeholdt Finanstilsynet</w:t>
            </w:r>
          </w:p>
          <w:p w14:paraId="5560025F" w14:textId="77777777" w:rsidR="00AD18BA" w:rsidRPr="00270255" w:rsidRDefault="00AD18BA" w:rsidP="00AD18BA">
            <w:pPr>
              <w:snapToGrid w:val="0"/>
            </w:pPr>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61477BE9" w14:textId="77777777" w:rsidR="000F1D6F" w:rsidRDefault="000F1D6F" w:rsidP="00083E63"/>
    <w:p w14:paraId="0E697177" w14:textId="77777777" w:rsidR="000F1D6F" w:rsidRDefault="000F1D6F">
      <w:r>
        <w:br w:type="page"/>
      </w:r>
    </w:p>
    <w:p w14:paraId="7E329135" w14:textId="77777777" w:rsidR="000C6168" w:rsidRDefault="000C6168" w:rsidP="00083E63"/>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D116A2" w:rsidRPr="00270255" w14:paraId="6C7183C8" w14:textId="77777777" w:rsidTr="00907A1A">
        <w:tc>
          <w:tcPr>
            <w:tcW w:w="13609" w:type="dxa"/>
            <w:gridSpan w:val="4"/>
          </w:tcPr>
          <w:p w14:paraId="74F99A2F" w14:textId="77777777" w:rsidR="00D116A2" w:rsidRPr="00270255" w:rsidRDefault="00D116A2" w:rsidP="00907A1A">
            <w:pPr>
              <w:pStyle w:val="Overskrift1"/>
              <w:numPr>
                <w:ilvl w:val="0"/>
                <w:numId w:val="2"/>
              </w:numPr>
              <w:rPr>
                <w:rFonts w:cs="Times New Roman"/>
              </w:rPr>
            </w:pPr>
            <w:r w:rsidRPr="00270255">
              <w:rPr>
                <w:rFonts w:cs="Times New Roman"/>
              </w:rPr>
              <w:t xml:space="preserve">Overgangsbestemmelser – hybrid kernekapital </w:t>
            </w:r>
          </w:p>
          <w:p w14:paraId="269CE7B3" w14:textId="77777777" w:rsidR="00D116A2" w:rsidRPr="00270255" w:rsidRDefault="00D116A2" w:rsidP="00907A1A"/>
        </w:tc>
      </w:tr>
      <w:tr w:rsidR="00D116A2" w:rsidRPr="00270255" w14:paraId="34AF47B9" w14:textId="77777777" w:rsidTr="00907A1A">
        <w:tc>
          <w:tcPr>
            <w:tcW w:w="13609" w:type="dxa"/>
            <w:gridSpan w:val="4"/>
          </w:tcPr>
          <w:p w14:paraId="59D993FA" w14:textId="77777777" w:rsidR="00C66B65" w:rsidRDefault="00C66B65" w:rsidP="0054694A">
            <w:pPr>
              <w:snapToGrid w:val="0"/>
            </w:pPr>
          </w:p>
          <w:p w14:paraId="0B0ED5A2" w14:textId="77777777" w:rsidR="0054694A" w:rsidRPr="00270255" w:rsidRDefault="0054694A" w:rsidP="0054694A">
            <w:pPr>
              <w:snapToGrid w:val="0"/>
            </w:pPr>
            <w:r w:rsidRPr="00270255">
              <w:t>If</w:t>
            </w:r>
            <w:r w:rsidR="00B22145">
              <w:t>ø</w:t>
            </w:r>
            <w:r w:rsidRPr="00270255">
              <w:t>lg</w:t>
            </w:r>
            <w:r w:rsidR="00B22145">
              <w:t>e</w:t>
            </w:r>
            <w:r w:rsidRPr="00270255">
              <w:t xml:space="preserve"> CRR, artikel 484 kvalificerer instrumenter og poster, der er udstedt eller var anerkendt som hybrid kernekapital før den 31. december 2011</w:t>
            </w:r>
            <w:r w:rsidR="00B22145">
              <w:t>,</w:t>
            </w:r>
            <w:r w:rsidRPr="00270255">
              <w:t xml:space="preserve"> og som ikke er udstedt i overensstemmelse med statsstøttereglerne, som hybrid kernekapital inden for de fastsatte grænser i artikel 486, uanset at kapitalen ikke opfylder betingelserne i artikel 52</w:t>
            </w:r>
            <w:r w:rsidR="00B35D2A" w:rsidRPr="00270255">
              <w:t>. Undtaget herfor er h</w:t>
            </w:r>
            <w:r w:rsidR="00EE2FA9" w:rsidRPr="00270255">
              <w:t xml:space="preserve">ybrid kapital, der </w:t>
            </w:r>
            <w:r w:rsidR="00B35D2A" w:rsidRPr="00270255">
              <w:t xml:space="preserve">heller ikke </w:t>
            </w:r>
            <w:r w:rsidR="00EE2FA9" w:rsidRPr="00270255">
              <w:t xml:space="preserve">tidligere kunne medregnes på grund af fastsatte begrænsninger </w:t>
            </w:r>
            <w:r w:rsidR="00B35D2A" w:rsidRPr="00270255">
              <w:t xml:space="preserve">eller hybrid kernekapitalinstrumenter, hvor instituttet </w:t>
            </w:r>
            <w:r w:rsidR="00443733" w:rsidRPr="00270255">
              <w:t xml:space="preserve">kun </w:t>
            </w:r>
            <w:r w:rsidR="00B35D2A" w:rsidRPr="00270255">
              <w:t xml:space="preserve">har kunnet gøre brug førtidsindfrielsesmulighed i perioden </w:t>
            </w:r>
            <w:r w:rsidR="0014259E" w:rsidRPr="00270255">
              <w:t xml:space="preserve">fra </w:t>
            </w:r>
            <w:r w:rsidR="00B35D2A" w:rsidRPr="00270255">
              <w:t>31. december 2011</w:t>
            </w:r>
            <w:r w:rsidR="0014259E" w:rsidRPr="00270255">
              <w:t xml:space="preserve"> til 1. januar 2013</w:t>
            </w:r>
            <w:r w:rsidR="00B35D2A" w:rsidRPr="00270255">
              <w:t>.</w:t>
            </w:r>
            <w:r w:rsidR="00EE2FA9" w:rsidRPr="00270255">
              <w:t xml:space="preserve"> </w:t>
            </w:r>
          </w:p>
          <w:p w14:paraId="53266C56" w14:textId="77777777" w:rsidR="006A5FE0" w:rsidRPr="00270255" w:rsidRDefault="006A5FE0" w:rsidP="0054694A">
            <w:pPr>
              <w:snapToGrid w:val="0"/>
            </w:pPr>
          </w:p>
          <w:p w14:paraId="0416F9D6" w14:textId="77777777" w:rsidR="003D77D1" w:rsidRPr="00270255" w:rsidRDefault="001973C4" w:rsidP="0054694A">
            <w:pPr>
              <w:snapToGrid w:val="0"/>
            </w:pPr>
            <w:r w:rsidRPr="00270255">
              <w:t>V</w:t>
            </w:r>
            <w:r w:rsidR="0054694A" w:rsidRPr="00270255">
              <w:t>ærdien af kapitalposterne</w:t>
            </w:r>
            <w:r w:rsidRPr="00270255">
              <w:t>, der medregnes efter overgangs</w:t>
            </w:r>
            <w:r w:rsidR="0095757C" w:rsidRPr="00270255">
              <w:t>bestemmelsen</w:t>
            </w:r>
            <w:r w:rsidRPr="00270255">
              <w:t xml:space="preserve"> i </w:t>
            </w:r>
            <w:r w:rsidR="0054694A" w:rsidRPr="00270255">
              <w:t>artikel 484</w:t>
            </w:r>
            <w:r w:rsidRPr="00270255">
              <w:t>,</w:t>
            </w:r>
            <w:r w:rsidR="0054694A" w:rsidRPr="00270255">
              <w:t xml:space="preserve"> </w:t>
            </w:r>
            <w:r w:rsidRPr="00270255">
              <w:t xml:space="preserve">nedtrappes </w:t>
            </w:r>
            <w:r w:rsidR="0054694A" w:rsidRPr="00270255">
              <w:t>frem til 2022, hvor de ikke længere kan medregnes i kapitalgrundlaget.</w:t>
            </w:r>
            <w:r w:rsidRPr="00270255">
              <w:t xml:space="preserve"> </w:t>
            </w:r>
            <w:r w:rsidR="0054694A" w:rsidRPr="00270255">
              <w:t>I Danmark nedtrappes værdien med 10 procentpoint hvert år startende med 80 pct. i 2014</w:t>
            </w:r>
            <w:r w:rsidR="0095757C" w:rsidRPr="00270255">
              <w:t>, jf. o</w:t>
            </w:r>
            <w:r w:rsidRPr="00270255">
              <w:t>vergangsbekendtgørelsen</w:t>
            </w:r>
            <w:r w:rsidR="00B22145">
              <w:t>s § 8</w:t>
            </w:r>
            <w:r w:rsidR="0054694A" w:rsidRPr="00270255">
              <w:t>.</w:t>
            </w:r>
          </w:p>
          <w:p w14:paraId="007B2B03" w14:textId="77777777" w:rsidR="003D77D1" w:rsidRPr="00270255" w:rsidRDefault="003D77D1" w:rsidP="0054694A">
            <w:pPr>
              <w:snapToGrid w:val="0"/>
            </w:pPr>
          </w:p>
          <w:p w14:paraId="102DC246" w14:textId="77777777" w:rsidR="003D77D1" w:rsidRPr="00270255" w:rsidRDefault="006A5FE0" w:rsidP="0054694A">
            <w:pPr>
              <w:snapToGrid w:val="0"/>
            </w:pPr>
            <w:r w:rsidRPr="00270255">
              <w:t>Artikel 4</w:t>
            </w:r>
            <w:r w:rsidR="003D77D1" w:rsidRPr="00270255">
              <w:t>89</w:t>
            </w:r>
            <w:r w:rsidRPr="00270255">
              <w:t xml:space="preserve"> omfatter en række betingelser for hybride kernekapitalinstrumenter med førtidsindfrielsesmulighed og incitamenter til indfrielse</w:t>
            </w:r>
            <w:r w:rsidR="00BA2F26" w:rsidRPr="00270255">
              <w:t>.</w:t>
            </w:r>
          </w:p>
          <w:p w14:paraId="4682A30A" w14:textId="77777777" w:rsidR="000F773A" w:rsidRPr="00270255" w:rsidRDefault="000F773A" w:rsidP="0054694A">
            <w:pPr>
              <w:snapToGrid w:val="0"/>
            </w:pPr>
          </w:p>
          <w:p w14:paraId="1CB59109" w14:textId="77777777" w:rsidR="000F773A" w:rsidRPr="00270255" w:rsidRDefault="000F773A" w:rsidP="000F773A">
            <w:pPr>
              <w:snapToGrid w:val="0"/>
            </w:pPr>
            <w:r w:rsidRPr="00270255">
              <w:t>Artikel 483 regulerer overgangsbestemmelser for kapitalinstrumenter, der udgør statsstøtte.</w:t>
            </w:r>
          </w:p>
          <w:p w14:paraId="7C89D2B1" w14:textId="77777777" w:rsidR="00D116A2" w:rsidRDefault="00D116A2" w:rsidP="00907A1A">
            <w:pPr>
              <w:snapToGrid w:val="0"/>
            </w:pPr>
          </w:p>
          <w:p w14:paraId="4E64DAFE" w14:textId="77777777" w:rsidR="00C66B65" w:rsidRDefault="00C66B65" w:rsidP="00907A1A">
            <w:pPr>
              <w:snapToGrid w:val="0"/>
            </w:pPr>
          </w:p>
          <w:p w14:paraId="0E322482" w14:textId="77777777" w:rsidR="00C66B65" w:rsidRPr="00270255" w:rsidRDefault="00C66B65" w:rsidP="00907A1A">
            <w:pPr>
              <w:snapToGrid w:val="0"/>
            </w:pPr>
          </w:p>
        </w:tc>
      </w:tr>
      <w:tr w:rsidR="00D116A2" w:rsidRPr="00270255" w14:paraId="5A22DE87" w14:textId="77777777" w:rsidTr="00907A1A">
        <w:tc>
          <w:tcPr>
            <w:tcW w:w="3544" w:type="dxa"/>
          </w:tcPr>
          <w:p w14:paraId="435F5C66" w14:textId="77777777" w:rsidR="00D116A2" w:rsidRPr="00270255" w:rsidRDefault="00D116A2" w:rsidP="00907A1A">
            <w:pPr>
              <w:rPr>
                <w:b/>
                <w:u w:val="single"/>
              </w:rPr>
            </w:pPr>
            <w:r w:rsidRPr="00270255">
              <w:rPr>
                <w:b/>
                <w:u w:val="single"/>
              </w:rPr>
              <w:t>Spørgsmål 1</w:t>
            </w:r>
            <w:r w:rsidR="00B54D5C">
              <w:rPr>
                <w:b/>
                <w:u w:val="single"/>
              </w:rPr>
              <w:t>2</w:t>
            </w:r>
            <w:r w:rsidRPr="00270255">
              <w:rPr>
                <w:b/>
                <w:u w:val="single"/>
              </w:rPr>
              <w:t>.1:</w:t>
            </w:r>
          </w:p>
          <w:p w14:paraId="3C6886E0" w14:textId="77777777" w:rsidR="0054694A" w:rsidRPr="00270255" w:rsidRDefault="00E35C07" w:rsidP="0054694A">
            <w:r>
              <w:t>Har instituttet kapitalposter, som medregnes</w:t>
            </w:r>
            <w:r w:rsidR="0054694A" w:rsidRPr="00270255">
              <w:t xml:space="preserve"> i henhold til overgangsbestemmelserne i artikel 484 i sin </w:t>
            </w:r>
            <w:r w:rsidR="00B35D2A" w:rsidRPr="00270255">
              <w:t>hybride</w:t>
            </w:r>
            <w:r w:rsidR="0054694A" w:rsidRPr="00270255">
              <w:t xml:space="preserve"> kernekapital?</w:t>
            </w:r>
          </w:p>
          <w:p w14:paraId="110B26B4" w14:textId="77777777" w:rsidR="00D116A2" w:rsidRPr="00270255" w:rsidRDefault="00D116A2" w:rsidP="00907A1A"/>
        </w:tc>
        <w:tc>
          <w:tcPr>
            <w:tcW w:w="851" w:type="dxa"/>
          </w:tcPr>
          <w:p w14:paraId="73D88D5F" w14:textId="77777777" w:rsidR="00D116A2" w:rsidRPr="00270255" w:rsidRDefault="00D116A2" w:rsidP="00907A1A">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55B46860" w14:textId="77777777" w:rsidR="00D116A2" w:rsidRPr="00270255" w:rsidRDefault="00D116A2" w:rsidP="00907A1A"/>
        </w:tc>
        <w:tc>
          <w:tcPr>
            <w:tcW w:w="6946" w:type="dxa"/>
          </w:tcPr>
          <w:p w14:paraId="05151640" w14:textId="77777777" w:rsidR="00D116A2" w:rsidRPr="00270255" w:rsidRDefault="00D116A2" w:rsidP="00907A1A">
            <w:pPr>
              <w:snapToGrid w:val="0"/>
            </w:pPr>
            <w:r w:rsidRPr="00270255">
              <w:t>Redegørelse</w:t>
            </w:r>
          </w:p>
          <w:p w14:paraId="150353E5" w14:textId="77777777" w:rsidR="00D116A2" w:rsidRPr="00270255" w:rsidRDefault="00D116A2" w:rsidP="00907A1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3BB625F9" w14:textId="77777777" w:rsidR="00D116A2" w:rsidRPr="00270255" w:rsidRDefault="00D116A2" w:rsidP="00907A1A">
            <w:pPr>
              <w:snapToGrid w:val="0"/>
            </w:pPr>
          </w:p>
        </w:tc>
        <w:tc>
          <w:tcPr>
            <w:tcW w:w="2268" w:type="dxa"/>
          </w:tcPr>
          <w:p w14:paraId="55DB9A9F" w14:textId="77777777" w:rsidR="00D116A2" w:rsidRPr="00270255" w:rsidRDefault="00D116A2" w:rsidP="00907A1A">
            <w:pPr>
              <w:snapToGrid w:val="0"/>
            </w:pPr>
            <w:r w:rsidRPr="00270255">
              <w:t>Forbeholdt Finanstilsynet</w:t>
            </w:r>
          </w:p>
          <w:p w14:paraId="64C7A571" w14:textId="77777777" w:rsidR="00D116A2" w:rsidRPr="00270255" w:rsidRDefault="00D116A2" w:rsidP="00907A1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14259E" w:rsidRPr="00270255" w14:paraId="639456BE" w14:textId="77777777" w:rsidTr="00907A1A">
        <w:tc>
          <w:tcPr>
            <w:tcW w:w="3544" w:type="dxa"/>
          </w:tcPr>
          <w:p w14:paraId="06BFD243" w14:textId="77777777" w:rsidR="0014259E" w:rsidRPr="00270255" w:rsidRDefault="0014259E" w:rsidP="001973C4">
            <w:pPr>
              <w:rPr>
                <w:b/>
                <w:u w:val="single"/>
              </w:rPr>
            </w:pPr>
            <w:r w:rsidRPr="00270255">
              <w:rPr>
                <w:b/>
                <w:u w:val="single"/>
              </w:rPr>
              <w:t>Spørgsmål 1</w:t>
            </w:r>
            <w:r w:rsidR="00B54D5C">
              <w:rPr>
                <w:b/>
                <w:u w:val="single"/>
              </w:rPr>
              <w:t>2</w:t>
            </w:r>
            <w:r w:rsidRPr="00270255">
              <w:rPr>
                <w:b/>
                <w:u w:val="single"/>
              </w:rPr>
              <w:t>.</w:t>
            </w:r>
            <w:r w:rsidR="000F773A" w:rsidRPr="00270255">
              <w:rPr>
                <w:b/>
                <w:u w:val="single"/>
              </w:rPr>
              <w:t>2</w:t>
            </w:r>
            <w:r w:rsidRPr="00270255">
              <w:rPr>
                <w:b/>
                <w:u w:val="single"/>
              </w:rPr>
              <w:t>:</w:t>
            </w:r>
          </w:p>
          <w:p w14:paraId="07F2196D" w14:textId="77777777" w:rsidR="00C23C1B" w:rsidRPr="00270255" w:rsidRDefault="00E35C07" w:rsidP="00C23C1B">
            <w:r>
              <w:t>Har instituttet kapitalposter, som medregnes</w:t>
            </w:r>
            <w:r w:rsidR="00C23C1B" w:rsidRPr="00270255">
              <w:t xml:space="preserve"> i henhold til overgangsbestemmelserne i artikel 48</w:t>
            </w:r>
            <w:r w:rsidR="00C23C1B">
              <w:t>9</w:t>
            </w:r>
            <w:r w:rsidR="00C23C1B" w:rsidRPr="00270255">
              <w:t xml:space="preserve"> i sin hybride kernekapital?</w:t>
            </w:r>
          </w:p>
          <w:p w14:paraId="6DC63034" w14:textId="77777777" w:rsidR="00443733" w:rsidRDefault="00443733" w:rsidP="00443733"/>
          <w:p w14:paraId="67343146" w14:textId="77777777" w:rsidR="00C23C1B" w:rsidRPr="00270255" w:rsidRDefault="00C23C1B" w:rsidP="00443733"/>
        </w:tc>
        <w:tc>
          <w:tcPr>
            <w:tcW w:w="851" w:type="dxa"/>
          </w:tcPr>
          <w:p w14:paraId="58534A55" w14:textId="77777777" w:rsidR="0014259E" w:rsidRPr="00270255" w:rsidRDefault="0014259E" w:rsidP="001973C4">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0E577B0B" w14:textId="77777777" w:rsidR="0014259E" w:rsidRPr="00270255" w:rsidRDefault="0014259E" w:rsidP="001973C4"/>
        </w:tc>
        <w:tc>
          <w:tcPr>
            <w:tcW w:w="6946" w:type="dxa"/>
          </w:tcPr>
          <w:p w14:paraId="4D181882" w14:textId="77777777" w:rsidR="0014259E" w:rsidRPr="00270255" w:rsidRDefault="0014259E" w:rsidP="001973C4">
            <w:pPr>
              <w:snapToGrid w:val="0"/>
            </w:pPr>
            <w:r w:rsidRPr="00270255">
              <w:t>Redegørelse</w:t>
            </w:r>
          </w:p>
          <w:p w14:paraId="3070FFF4" w14:textId="77777777" w:rsidR="0014259E" w:rsidRPr="00270255" w:rsidRDefault="0014259E" w:rsidP="001973C4">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7A180D7A" w14:textId="77777777" w:rsidR="0014259E" w:rsidRPr="00270255" w:rsidRDefault="0014259E" w:rsidP="001973C4">
            <w:pPr>
              <w:snapToGrid w:val="0"/>
            </w:pPr>
          </w:p>
        </w:tc>
        <w:tc>
          <w:tcPr>
            <w:tcW w:w="2268" w:type="dxa"/>
          </w:tcPr>
          <w:p w14:paraId="07C9F95C" w14:textId="77777777" w:rsidR="0014259E" w:rsidRPr="00270255" w:rsidRDefault="0014259E" w:rsidP="001973C4">
            <w:pPr>
              <w:snapToGrid w:val="0"/>
            </w:pPr>
            <w:r w:rsidRPr="00270255">
              <w:t>Forbeholdt Finanstilsynet</w:t>
            </w:r>
          </w:p>
          <w:p w14:paraId="6A6FF198" w14:textId="77777777" w:rsidR="0014259E" w:rsidRPr="00270255" w:rsidRDefault="0014259E" w:rsidP="001973C4">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4CD0A0E6" w14:textId="77777777" w:rsidR="00D116A2" w:rsidRDefault="00D116A2" w:rsidP="00083E63"/>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851"/>
        <w:gridCol w:w="6946"/>
        <w:gridCol w:w="2268"/>
      </w:tblGrid>
      <w:tr w:rsidR="00D116A2" w:rsidRPr="00270255" w14:paraId="4B5EC362" w14:textId="77777777" w:rsidTr="00907A1A">
        <w:tc>
          <w:tcPr>
            <w:tcW w:w="13609" w:type="dxa"/>
            <w:gridSpan w:val="4"/>
          </w:tcPr>
          <w:p w14:paraId="7AB96447" w14:textId="77777777" w:rsidR="00D116A2" w:rsidRPr="00270255" w:rsidRDefault="00D116A2" w:rsidP="00907A1A">
            <w:pPr>
              <w:pStyle w:val="Overskrift1"/>
              <w:numPr>
                <w:ilvl w:val="0"/>
                <w:numId w:val="2"/>
              </w:numPr>
              <w:rPr>
                <w:rFonts w:cs="Times New Roman"/>
              </w:rPr>
            </w:pPr>
            <w:r w:rsidRPr="00270255">
              <w:rPr>
                <w:rFonts w:cs="Times New Roman"/>
              </w:rPr>
              <w:t xml:space="preserve">Overgangsbestemmelser – supplerende kapital </w:t>
            </w:r>
          </w:p>
          <w:p w14:paraId="3548F7FF" w14:textId="77777777" w:rsidR="00D116A2" w:rsidRPr="00270255" w:rsidRDefault="00D116A2" w:rsidP="00907A1A"/>
        </w:tc>
      </w:tr>
      <w:tr w:rsidR="00D116A2" w:rsidRPr="00270255" w14:paraId="158245CC" w14:textId="77777777" w:rsidTr="00907A1A">
        <w:tc>
          <w:tcPr>
            <w:tcW w:w="13609" w:type="dxa"/>
            <w:gridSpan w:val="4"/>
          </w:tcPr>
          <w:p w14:paraId="0D7A66F6" w14:textId="77777777" w:rsidR="00C66B65" w:rsidRDefault="00C66B65" w:rsidP="00BA2F26">
            <w:pPr>
              <w:snapToGrid w:val="0"/>
            </w:pPr>
          </w:p>
          <w:p w14:paraId="2BCCB579" w14:textId="77777777" w:rsidR="00BA2F26" w:rsidRPr="00270255" w:rsidRDefault="00B22145" w:rsidP="00BA2F26">
            <w:pPr>
              <w:snapToGrid w:val="0"/>
            </w:pPr>
            <w:r>
              <w:t>I</w:t>
            </w:r>
            <w:r w:rsidR="00BA2F26" w:rsidRPr="00270255">
              <w:t>f</w:t>
            </w:r>
            <w:r>
              <w:t>ø</w:t>
            </w:r>
            <w:r w:rsidR="00BA2F26" w:rsidRPr="00270255">
              <w:t>lg</w:t>
            </w:r>
            <w:r>
              <w:t>e</w:t>
            </w:r>
            <w:r w:rsidR="00BA2F26" w:rsidRPr="00270255">
              <w:t xml:space="preserve"> CRR, artikel 484 kvalificerer instrumenter og poster, der er udstedt eller var anerkendt som supplerende kapital før den 31. december 2011</w:t>
            </w:r>
            <w:r>
              <w:t>,</w:t>
            </w:r>
            <w:r w:rsidR="00BA2F26" w:rsidRPr="00270255">
              <w:t xml:space="preserve"> og som ikke er udstedt i overensstemmelse med statsstøttereglerne, som supplerende kapital inden for de fastsatte grænser i artikel 486, uanset at kapitalen ikke opfylder betingelserne i artikel 62. Undtaget herfor er supplerende kapital, der heller ikke tidligere kunne medregnes på grund af fastsatte begrænsninger eller supplerende kapitalinstrumenter, hvor instituttet </w:t>
            </w:r>
            <w:r w:rsidR="00443733" w:rsidRPr="00270255">
              <w:t xml:space="preserve">kun </w:t>
            </w:r>
            <w:r w:rsidR="00BA2F26" w:rsidRPr="00270255">
              <w:t xml:space="preserve">har kunnet gøre brug førtidsindfrielsesmulighed i perioden fra 31. december 2011 til 1. januar 2013. </w:t>
            </w:r>
          </w:p>
          <w:p w14:paraId="675AAF15" w14:textId="77777777" w:rsidR="00BA2F26" w:rsidRPr="00270255" w:rsidRDefault="00BA2F26" w:rsidP="00BA2F26">
            <w:pPr>
              <w:snapToGrid w:val="0"/>
            </w:pPr>
          </w:p>
          <w:p w14:paraId="1CFBA773" w14:textId="77777777" w:rsidR="00BA2F26" w:rsidRPr="00270255" w:rsidRDefault="00BA2F26" w:rsidP="00BA2F26">
            <w:pPr>
              <w:snapToGrid w:val="0"/>
            </w:pPr>
            <w:r w:rsidRPr="00270255">
              <w:t>Værdien af kapitalposterne, der medregnes efter overgangsbestemmelsen i artikel 484, nedtrappes frem til 2022, hvor de ikke længere kan medregnes i kapitalgrundlaget. I Danmark nedtrappes værdien med 10 procentpoint hvert år startende med 80 pct. i 2014, jf. overgangsbekendtgørelsen</w:t>
            </w:r>
            <w:r w:rsidR="00B22145">
              <w:t>s § 8</w:t>
            </w:r>
            <w:r w:rsidRPr="00270255">
              <w:t>.</w:t>
            </w:r>
          </w:p>
          <w:p w14:paraId="7D53B30D" w14:textId="77777777" w:rsidR="00BA2F26" w:rsidRPr="00270255" w:rsidRDefault="00BA2F26" w:rsidP="00BA2F26">
            <w:pPr>
              <w:snapToGrid w:val="0"/>
            </w:pPr>
          </w:p>
          <w:p w14:paraId="0F08F67B" w14:textId="77777777" w:rsidR="00BA2F26" w:rsidRPr="00270255" w:rsidRDefault="00BA2F26" w:rsidP="00BA2F26">
            <w:pPr>
              <w:snapToGrid w:val="0"/>
            </w:pPr>
            <w:r w:rsidRPr="00270255">
              <w:t>Artikel 4</w:t>
            </w:r>
            <w:r w:rsidR="00443733" w:rsidRPr="00270255">
              <w:t>90</w:t>
            </w:r>
            <w:r w:rsidRPr="00270255">
              <w:t xml:space="preserve"> omfatter en række betingelser for </w:t>
            </w:r>
            <w:r w:rsidR="000A1FF6">
              <w:t xml:space="preserve">supplerende </w:t>
            </w:r>
            <w:r w:rsidRPr="00270255">
              <w:t>kernekapitalinstrumenter med førtidsindfrielsesmulighed og incitamenter til indfrielse.</w:t>
            </w:r>
          </w:p>
          <w:p w14:paraId="65E490CB" w14:textId="77777777" w:rsidR="00D116A2" w:rsidRDefault="00D116A2" w:rsidP="00907A1A">
            <w:pPr>
              <w:snapToGrid w:val="0"/>
            </w:pPr>
          </w:p>
          <w:p w14:paraId="0C9399DC" w14:textId="77777777" w:rsidR="00C66B65" w:rsidRPr="00270255" w:rsidRDefault="00C66B65" w:rsidP="00907A1A">
            <w:pPr>
              <w:snapToGrid w:val="0"/>
            </w:pPr>
          </w:p>
        </w:tc>
      </w:tr>
      <w:tr w:rsidR="00D116A2" w:rsidRPr="00270255" w14:paraId="2382A445" w14:textId="77777777" w:rsidTr="00907A1A">
        <w:tc>
          <w:tcPr>
            <w:tcW w:w="3544" w:type="dxa"/>
          </w:tcPr>
          <w:p w14:paraId="41BC516A" w14:textId="77777777" w:rsidR="00D116A2" w:rsidRPr="00270255" w:rsidRDefault="00D116A2" w:rsidP="00907A1A">
            <w:pPr>
              <w:rPr>
                <w:b/>
                <w:u w:val="single"/>
              </w:rPr>
            </w:pPr>
            <w:r w:rsidRPr="00270255">
              <w:rPr>
                <w:b/>
                <w:u w:val="single"/>
              </w:rPr>
              <w:t>Spørgsmål 1</w:t>
            </w:r>
            <w:r w:rsidR="00B54D5C">
              <w:rPr>
                <w:b/>
                <w:u w:val="single"/>
              </w:rPr>
              <w:t>3</w:t>
            </w:r>
            <w:r w:rsidRPr="00270255">
              <w:rPr>
                <w:b/>
                <w:u w:val="single"/>
              </w:rPr>
              <w:t>.1:</w:t>
            </w:r>
          </w:p>
          <w:p w14:paraId="708C3316" w14:textId="77777777" w:rsidR="00443733" w:rsidRPr="00270255" w:rsidRDefault="00E35C07" w:rsidP="00443733">
            <w:r>
              <w:t xml:space="preserve">Har instituttet kapitalposter, som medregnes i </w:t>
            </w:r>
            <w:r w:rsidR="00443733" w:rsidRPr="00270255">
              <w:t>henhold til overgangsbestemmelserne i artikel 484 i sin supplerende kapital?</w:t>
            </w:r>
          </w:p>
          <w:p w14:paraId="4D90BC31" w14:textId="77777777" w:rsidR="00D116A2" w:rsidRPr="00270255" w:rsidRDefault="00D116A2" w:rsidP="00907A1A"/>
        </w:tc>
        <w:tc>
          <w:tcPr>
            <w:tcW w:w="851" w:type="dxa"/>
          </w:tcPr>
          <w:p w14:paraId="44907E8A" w14:textId="77777777" w:rsidR="00D116A2" w:rsidRPr="00270255" w:rsidRDefault="00D116A2" w:rsidP="00907A1A">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76534CB2" w14:textId="77777777" w:rsidR="00D116A2" w:rsidRPr="00270255" w:rsidRDefault="00D116A2" w:rsidP="00907A1A"/>
        </w:tc>
        <w:tc>
          <w:tcPr>
            <w:tcW w:w="6946" w:type="dxa"/>
          </w:tcPr>
          <w:p w14:paraId="74B23D53" w14:textId="77777777" w:rsidR="00D116A2" w:rsidRPr="00270255" w:rsidRDefault="00D116A2" w:rsidP="00907A1A">
            <w:pPr>
              <w:snapToGrid w:val="0"/>
            </w:pPr>
            <w:r w:rsidRPr="00270255">
              <w:t>Redegørelse</w:t>
            </w:r>
          </w:p>
          <w:p w14:paraId="74E7924F" w14:textId="77777777" w:rsidR="00D116A2" w:rsidRPr="00270255" w:rsidRDefault="00D116A2" w:rsidP="00907A1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72E4D5F6" w14:textId="77777777" w:rsidR="00D116A2" w:rsidRPr="00270255" w:rsidRDefault="00D116A2" w:rsidP="00907A1A">
            <w:pPr>
              <w:snapToGrid w:val="0"/>
            </w:pPr>
          </w:p>
        </w:tc>
        <w:tc>
          <w:tcPr>
            <w:tcW w:w="2268" w:type="dxa"/>
          </w:tcPr>
          <w:p w14:paraId="4FF1228C" w14:textId="77777777" w:rsidR="00D116A2" w:rsidRPr="00270255" w:rsidRDefault="00D116A2" w:rsidP="00907A1A">
            <w:pPr>
              <w:snapToGrid w:val="0"/>
            </w:pPr>
            <w:r w:rsidRPr="00270255">
              <w:t>Forbeholdt Finanstilsynet</w:t>
            </w:r>
          </w:p>
          <w:p w14:paraId="70C72927" w14:textId="77777777" w:rsidR="00D116A2" w:rsidRPr="00270255" w:rsidRDefault="00D116A2" w:rsidP="00907A1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r w:rsidR="00D116A2" w:rsidRPr="00270255" w14:paraId="29B525CC" w14:textId="77777777" w:rsidTr="00907A1A">
        <w:tc>
          <w:tcPr>
            <w:tcW w:w="3544" w:type="dxa"/>
          </w:tcPr>
          <w:p w14:paraId="65E4C281" w14:textId="77777777" w:rsidR="00D116A2" w:rsidRPr="00270255" w:rsidRDefault="00D116A2" w:rsidP="00907A1A">
            <w:pPr>
              <w:rPr>
                <w:b/>
                <w:u w:val="single"/>
              </w:rPr>
            </w:pPr>
            <w:r w:rsidRPr="00270255">
              <w:rPr>
                <w:b/>
                <w:u w:val="single"/>
              </w:rPr>
              <w:t>Spørgsmål 1</w:t>
            </w:r>
            <w:r w:rsidR="00B54D5C">
              <w:rPr>
                <w:b/>
                <w:u w:val="single"/>
              </w:rPr>
              <w:t>3</w:t>
            </w:r>
            <w:r w:rsidRPr="00270255">
              <w:rPr>
                <w:b/>
                <w:u w:val="single"/>
              </w:rPr>
              <w:t>.2:</w:t>
            </w:r>
          </w:p>
          <w:p w14:paraId="1406CE18" w14:textId="77777777" w:rsidR="00C23C1B" w:rsidRPr="00270255" w:rsidRDefault="00E35C07" w:rsidP="00C23C1B">
            <w:r>
              <w:t>Har instituttet kapitalposter, som medregnes</w:t>
            </w:r>
            <w:r w:rsidR="00C23C1B" w:rsidRPr="00270255">
              <w:t xml:space="preserve"> i henhold til overgangsbestemmelserne i artikel 4</w:t>
            </w:r>
            <w:r w:rsidR="00C23C1B">
              <w:t>90</w:t>
            </w:r>
            <w:r w:rsidR="00C23C1B" w:rsidRPr="00270255">
              <w:t xml:space="preserve"> i sin supplerende kapital?</w:t>
            </w:r>
          </w:p>
          <w:p w14:paraId="641D3287" w14:textId="77777777" w:rsidR="00D116A2" w:rsidRPr="00270255" w:rsidRDefault="00D116A2" w:rsidP="00907A1A"/>
        </w:tc>
        <w:tc>
          <w:tcPr>
            <w:tcW w:w="851" w:type="dxa"/>
          </w:tcPr>
          <w:p w14:paraId="4F284DA4" w14:textId="77777777" w:rsidR="00D116A2" w:rsidRPr="00270255" w:rsidRDefault="00D116A2" w:rsidP="00907A1A">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 xml:space="preserve">Ja </w:t>
            </w:r>
            <w:r w:rsidRPr="00270255">
              <w:fldChar w:fldCharType="begin">
                <w:ffData>
                  <w:name w:val="Kontrol1"/>
                  <w:enabled/>
                  <w:calcOnExit w:val="0"/>
                  <w:checkBox>
                    <w:sizeAuto/>
                    <w:default w:val="0"/>
                    <w:checked w:val="0"/>
                  </w:checkBox>
                </w:ffData>
              </w:fldChar>
            </w:r>
            <w:r w:rsidRPr="00270255">
              <w:instrText xml:space="preserve"> FORMCHECKBOX </w:instrText>
            </w:r>
            <w:r w:rsidR="00113BE6">
              <w:fldChar w:fldCharType="separate"/>
            </w:r>
            <w:r w:rsidRPr="00270255">
              <w:fldChar w:fldCharType="end"/>
            </w:r>
            <w:r w:rsidRPr="00270255">
              <w:t>Nej</w:t>
            </w:r>
          </w:p>
          <w:p w14:paraId="58377C4C" w14:textId="77777777" w:rsidR="00D116A2" w:rsidRPr="00270255" w:rsidRDefault="00D116A2" w:rsidP="00907A1A"/>
        </w:tc>
        <w:tc>
          <w:tcPr>
            <w:tcW w:w="6946" w:type="dxa"/>
          </w:tcPr>
          <w:p w14:paraId="63A842C7" w14:textId="77777777" w:rsidR="00D116A2" w:rsidRPr="00270255" w:rsidRDefault="00D116A2" w:rsidP="00907A1A">
            <w:pPr>
              <w:snapToGrid w:val="0"/>
            </w:pPr>
            <w:r w:rsidRPr="00270255">
              <w:t>Redegørelse</w:t>
            </w:r>
          </w:p>
          <w:p w14:paraId="4916BDF5" w14:textId="77777777" w:rsidR="00D116A2" w:rsidRPr="00270255" w:rsidRDefault="00D116A2" w:rsidP="00907A1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p w14:paraId="08824EE7" w14:textId="77777777" w:rsidR="00D116A2" w:rsidRPr="00270255" w:rsidRDefault="00D116A2" w:rsidP="00907A1A">
            <w:pPr>
              <w:snapToGrid w:val="0"/>
            </w:pPr>
          </w:p>
        </w:tc>
        <w:tc>
          <w:tcPr>
            <w:tcW w:w="2268" w:type="dxa"/>
          </w:tcPr>
          <w:p w14:paraId="0A19A0CE" w14:textId="77777777" w:rsidR="00D116A2" w:rsidRPr="00270255" w:rsidRDefault="00D116A2" w:rsidP="00907A1A">
            <w:pPr>
              <w:snapToGrid w:val="0"/>
            </w:pPr>
            <w:r w:rsidRPr="00270255">
              <w:t>Forbeholdt Finanstilsynet</w:t>
            </w:r>
          </w:p>
          <w:p w14:paraId="143AAABF" w14:textId="77777777" w:rsidR="00D116A2" w:rsidRPr="00270255" w:rsidRDefault="00D116A2" w:rsidP="00907A1A">
            <w:r w:rsidRPr="00270255">
              <w:fldChar w:fldCharType="begin">
                <w:ffData>
                  <w:name w:val="Tekst1"/>
                  <w:enabled/>
                  <w:calcOnExit w:val="0"/>
                  <w:textInput/>
                </w:ffData>
              </w:fldChar>
            </w:r>
            <w:r w:rsidRPr="00270255">
              <w:instrText xml:space="preserve"> FORMTEXT </w:instrText>
            </w:r>
            <w:r w:rsidRPr="00270255">
              <w:fldChar w:fldCharType="separate"/>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rPr>
                <w:rFonts w:eastAsia="MS Mincho"/>
                <w:noProof/>
              </w:rPr>
              <w:t> </w:t>
            </w:r>
            <w:r w:rsidRPr="00270255">
              <w:fldChar w:fldCharType="end"/>
            </w:r>
          </w:p>
        </w:tc>
      </w:tr>
    </w:tbl>
    <w:p w14:paraId="2577D6BB" w14:textId="77777777" w:rsidR="002978F0" w:rsidRDefault="002978F0" w:rsidP="00083E63"/>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840"/>
        <w:gridCol w:w="6957"/>
        <w:gridCol w:w="2269"/>
      </w:tblGrid>
      <w:tr w:rsidR="00A93AF9" w:rsidRPr="00270255" w14:paraId="5DCA3D5F" w14:textId="77777777" w:rsidTr="00FB3F2C">
        <w:tc>
          <w:tcPr>
            <w:tcW w:w="13609" w:type="dxa"/>
            <w:gridSpan w:val="4"/>
          </w:tcPr>
          <w:p w14:paraId="017592B0" w14:textId="149277C2" w:rsidR="00A93AF9" w:rsidRPr="00855188" w:rsidRDefault="00A93AF9" w:rsidP="00855188">
            <w:pPr>
              <w:pStyle w:val="Overskrift1"/>
              <w:numPr>
                <w:ilvl w:val="0"/>
                <w:numId w:val="2"/>
              </w:numPr>
              <w:rPr>
                <w:rFonts w:cs="Times New Roman"/>
              </w:rPr>
            </w:pPr>
            <w:r w:rsidRPr="00855188">
              <w:rPr>
                <w:rFonts w:cs="Times New Roman"/>
              </w:rPr>
              <w:lastRenderedPageBreak/>
              <w:t>Minoritetsinteresser og hybride kernekapitalinstrumenter og supplerende kapitalinstrumenter udstedt af datterselskaber</w:t>
            </w:r>
            <w:r w:rsidR="000F1D6F" w:rsidRPr="00855188">
              <w:rPr>
                <w:rFonts w:cs="Times New Roman"/>
              </w:rPr>
              <w:t xml:space="preserve"> </w:t>
            </w:r>
            <w:r w:rsidRPr="00855188">
              <w:rPr>
                <w:rFonts w:cs="Times New Roman"/>
              </w:rPr>
              <w:t xml:space="preserve">(Besvares kun af </w:t>
            </w:r>
            <w:r w:rsidR="00E26010" w:rsidRPr="00855188">
              <w:rPr>
                <w:rFonts w:cs="Times New Roman"/>
              </w:rPr>
              <w:t>institutter, der skal opfylde kapitalkrav på koncernniveau)</w:t>
            </w:r>
          </w:p>
          <w:p w14:paraId="168919BF" w14:textId="77777777" w:rsidR="000F1D6F" w:rsidRPr="00855188" w:rsidRDefault="000F1D6F" w:rsidP="00A93AF9"/>
          <w:p w14:paraId="24AD6385" w14:textId="77777777" w:rsidR="00A93AF9" w:rsidRPr="00855188" w:rsidRDefault="000F1D6F" w:rsidP="00A93AF9">
            <w:r w:rsidRPr="00855188">
              <w:t>Artiklerne 81-88 i CRR bestemmer, hvordan minoritetsinteresser og kvalificerende kapital</w:t>
            </w:r>
            <w:r w:rsidR="00E7686E" w:rsidRPr="00855188">
              <w:t xml:space="preserve"> i datterselskab kan indregnes i koncernens kapitalgrundlag.</w:t>
            </w:r>
          </w:p>
          <w:p w14:paraId="2ACFADF6" w14:textId="77777777" w:rsidR="00A93AF9" w:rsidRPr="00855188" w:rsidRDefault="00A93AF9" w:rsidP="00A93AF9"/>
          <w:p w14:paraId="7C5180E1" w14:textId="77777777" w:rsidR="00A93AF9" w:rsidRPr="00E26010" w:rsidRDefault="00A93AF9" w:rsidP="00A93AF9">
            <w:pPr>
              <w:rPr>
                <w:highlight w:val="yellow"/>
              </w:rPr>
            </w:pPr>
          </w:p>
        </w:tc>
      </w:tr>
      <w:tr w:rsidR="00FB3F2C" w:rsidRPr="00270255" w14:paraId="4BAE3781" w14:textId="77777777" w:rsidTr="00E26010">
        <w:tc>
          <w:tcPr>
            <w:tcW w:w="3543" w:type="dxa"/>
          </w:tcPr>
          <w:p w14:paraId="32A150E3" w14:textId="77777777" w:rsidR="00FB3F2C" w:rsidRPr="00855188" w:rsidRDefault="00FB3F2C" w:rsidP="00FB3F2C">
            <w:pPr>
              <w:rPr>
                <w:b/>
                <w:u w:val="single"/>
              </w:rPr>
            </w:pPr>
            <w:r w:rsidRPr="00855188">
              <w:rPr>
                <w:b/>
                <w:u w:val="single"/>
              </w:rPr>
              <w:t>Spørgsmål 14.1:</w:t>
            </w:r>
          </w:p>
          <w:p w14:paraId="71A8D31A" w14:textId="77777777" w:rsidR="00FB3F2C" w:rsidRPr="00855188" w:rsidRDefault="00FB3F2C" w:rsidP="00FB3F2C">
            <w:r w:rsidRPr="00855188">
              <w:t>Har instituttet kapitalposter, som medregnes i henhold til artiklerne 81-88?</w:t>
            </w:r>
          </w:p>
          <w:p w14:paraId="74B786F3" w14:textId="77777777" w:rsidR="00FB3F2C" w:rsidRPr="00E26010" w:rsidRDefault="00FB3F2C" w:rsidP="00FB3F2C">
            <w:pPr>
              <w:rPr>
                <w:highlight w:val="yellow"/>
              </w:rPr>
            </w:pPr>
          </w:p>
        </w:tc>
        <w:tc>
          <w:tcPr>
            <w:tcW w:w="840" w:type="dxa"/>
          </w:tcPr>
          <w:p w14:paraId="3FC117E1" w14:textId="77777777" w:rsidR="00FB3F2C" w:rsidRPr="00855188" w:rsidRDefault="00FB3F2C" w:rsidP="00FB3F2C">
            <w:r w:rsidRPr="00855188">
              <w:fldChar w:fldCharType="begin">
                <w:ffData>
                  <w:name w:val="Kontrol1"/>
                  <w:enabled/>
                  <w:calcOnExit w:val="0"/>
                  <w:checkBox>
                    <w:sizeAuto/>
                    <w:default w:val="0"/>
                    <w:checked w:val="0"/>
                  </w:checkBox>
                </w:ffData>
              </w:fldChar>
            </w:r>
            <w:r w:rsidRPr="00855188">
              <w:instrText xml:space="preserve"> FORMCHECKBOX </w:instrText>
            </w:r>
            <w:r w:rsidR="00113BE6">
              <w:fldChar w:fldCharType="separate"/>
            </w:r>
            <w:r w:rsidRPr="00855188">
              <w:fldChar w:fldCharType="end"/>
            </w:r>
            <w:r w:rsidRPr="00855188">
              <w:t xml:space="preserve">Ja </w:t>
            </w:r>
            <w:r w:rsidRPr="00855188">
              <w:fldChar w:fldCharType="begin">
                <w:ffData>
                  <w:name w:val="Kontrol1"/>
                  <w:enabled/>
                  <w:calcOnExit w:val="0"/>
                  <w:checkBox>
                    <w:sizeAuto/>
                    <w:default w:val="0"/>
                    <w:checked w:val="0"/>
                  </w:checkBox>
                </w:ffData>
              </w:fldChar>
            </w:r>
            <w:r w:rsidRPr="00855188">
              <w:instrText xml:space="preserve"> FORMCHECKBOX </w:instrText>
            </w:r>
            <w:r w:rsidR="00113BE6">
              <w:fldChar w:fldCharType="separate"/>
            </w:r>
            <w:r w:rsidRPr="00855188">
              <w:fldChar w:fldCharType="end"/>
            </w:r>
            <w:r w:rsidRPr="00855188">
              <w:t>Nej</w:t>
            </w:r>
          </w:p>
          <w:p w14:paraId="6DBDF976" w14:textId="77777777" w:rsidR="00FB3F2C" w:rsidRPr="00E26010" w:rsidRDefault="00FB3F2C" w:rsidP="00FB3F2C">
            <w:pPr>
              <w:rPr>
                <w:highlight w:val="yellow"/>
              </w:rPr>
            </w:pPr>
          </w:p>
        </w:tc>
        <w:tc>
          <w:tcPr>
            <w:tcW w:w="6957" w:type="dxa"/>
          </w:tcPr>
          <w:p w14:paraId="2C182532" w14:textId="77777777" w:rsidR="00FB3F2C" w:rsidRPr="00855188" w:rsidRDefault="00FB3F2C" w:rsidP="00FB3F2C">
            <w:pPr>
              <w:snapToGrid w:val="0"/>
            </w:pPr>
            <w:r w:rsidRPr="00270255">
              <w:t>Redegørelse</w:t>
            </w:r>
            <w:r>
              <w:t xml:space="preserve"> </w:t>
            </w:r>
            <w:r w:rsidRPr="00855188">
              <w:t>(Hvilke datterselskaber og hvilken type kapital?)</w:t>
            </w:r>
          </w:p>
          <w:p w14:paraId="3557B66C" w14:textId="77777777" w:rsidR="00FB3F2C" w:rsidRPr="00270255" w:rsidRDefault="00FB3F2C" w:rsidP="00FB3F2C">
            <w:r w:rsidRPr="00855188">
              <w:fldChar w:fldCharType="begin">
                <w:ffData>
                  <w:name w:val="Tekst1"/>
                  <w:enabled/>
                  <w:calcOnExit w:val="0"/>
                  <w:textInput/>
                </w:ffData>
              </w:fldChar>
            </w:r>
            <w:r w:rsidRPr="00855188">
              <w:instrText xml:space="preserve"> FORMTEXT </w:instrText>
            </w:r>
            <w:r w:rsidRPr="00855188">
              <w:fldChar w:fldCharType="separate"/>
            </w:r>
            <w:r w:rsidRPr="00855188">
              <w:rPr>
                <w:rFonts w:eastAsia="MS Mincho"/>
                <w:noProof/>
              </w:rPr>
              <w:t> </w:t>
            </w:r>
            <w:r w:rsidRPr="00855188">
              <w:rPr>
                <w:rFonts w:eastAsia="MS Mincho"/>
                <w:noProof/>
              </w:rPr>
              <w:t> </w:t>
            </w:r>
            <w:r w:rsidRPr="00855188">
              <w:rPr>
                <w:rFonts w:eastAsia="MS Mincho"/>
                <w:noProof/>
              </w:rPr>
              <w:t> </w:t>
            </w:r>
            <w:r w:rsidRPr="00855188">
              <w:rPr>
                <w:rFonts w:eastAsia="MS Mincho"/>
                <w:noProof/>
              </w:rPr>
              <w:t> </w:t>
            </w:r>
            <w:r w:rsidRPr="00855188">
              <w:rPr>
                <w:rFonts w:eastAsia="MS Mincho"/>
                <w:noProof/>
              </w:rPr>
              <w:t> </w:t>
            </w:r>
            <w:r w:rsidRPr="00855188">
              <w:fldChar w:fldCharType="end"/>
            </w:r>
          </w:p>
          <w:p w14:paraId="00FE1D1D" w14:textId="77777777" w:rsidR="00FB3F2C" w:rsidRPr="00270255" w:rsidRDefault="00FB3F2C" w:rsidP="00FB3F2C">
            <w:pPr>
              <w:snapToGrid w:val="0"/>
            </w:pPr>
          </w:p>
        </w:tc>
        <w:tc>
          <w:tcPr>
            <w:tcW w:w="2269" w:type="dxa"/>
          </w:tcPr>
          <w:p w14:paraId="2FAF86C7" w14:textId="77777777" w:rsidR="00FB3F2C" w:rsidRPr="00FB3F2C" w:rsidRDefault="00FB3F2C" w:rsidP="00FB3F2C">
            <w:pPr>
              <w:snapToGrid w:val="0"/>
            </w:pPr>
            <w:r w:rsidRPr="00FB3F2C">
              <w:t>Forbeholdt Finanstilsynet</w:t>
            </w:r>
          </w:p>
          <w:p w14:paraId="7BD23E55" w14:textId="77777777" w:rsidR="00FB3F2C" w:rsidRPr="00E26010" w:rsidRDefault="00FB3F2C" w:rsidP="00FB3F2C">
            <w:pPr>
              <w:rPr>
                <w:highlight w:val="yellow"/>
              </w:rPr>
            </w:pPr>
            <w:r w:rsidRPr="00FB3F2C">
              <w:fldChar w:fldCharType="begin">
                <w:ffData>
                  <w:name w:val="Tekst1"/>
                  <w:enabled/>
                  <w:calcOnExit w:val="0"/>
                  <w:textInput/>
                </w:ffData>
              </w:fldChar>
            </w:r>
            <w:r w:rsidRPr="00FB3F2C">
              <w:instrText xml:space="preserve"> FORMTEXT </w:instrText>
            </w:r>
            <w:r w:rsidRPr="00FB3F2C">
              <w:fldChar w:fldCharType="separate"/>
            </w:r>
            <w:r w:rsidRPr="00FB3F2C">
              <w:rPr>
                <w:rFonts w:eastAsia="MS Mincho"/>
                <w:noProof/>
              </w:rPr>
              <w:t> </w:t>
            </w:r>
            <w:r w:rsidRPr="00FB3F2C">
              <w:rPr>
                <w:rFonts w:eastAsia="MS Mincho"/>
                <w:noProof/>
              </w:rPr>
              <w:t> </w:t>
            </w:r>
            <w:r w:rsidRPr="00FB3F2C">
              <w:rPr>
                <w:rFonts w:eastAsia="MS Mincho"/>
                <w:noProof/>
              </w:rPr>
              <w:t> </w:t>
            </w:r>
            <w:r w:rsidRPr="00FB3F2C">
              <w:rPr>
                <w:rFonts w:eastAsia="MS Mincho"/>
                <w:noProof/>
              </w:rPr>
              <w:t> </w:t>
            </w:r>
            <w:r w:rsidRPr="00FB3F2C">
              <w:rPr>
                <w:rFonts w:eastAsia="MS Mincho"/>
                <w:noProof/>
              </w:rPr>
              <w:t> </w:t>
            </w:r>
            <w:r w:rsidRPr="00FB3F2C">
              <w:fldChar w:fldCharType="end"/>
            </w:r>
          </w:p>
        </w:tc>
      </w:tr>
    </w:tbl>
    <w:p w14:paraId="75943264" w14:textId="77777777" w:rsidR="002978F0" w:rsidRDefault="002978F0"/>
    <w:sectPr w:rsidR="002978F0" w:rsidSect="008C708D">
      <w:headerReference w:type="default" r:id="rId8"/>
      <w:footerReference w:type="default" r:id="rId9"/>
      <w:pgSz w:w="16838" w:h="11906" w:orient="landscape"/>
      <w:pgMar w:top="1134" w:right="1701"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9AC9" w14:textId="77777777" w:rsidR="00113BE6" w:rsidRDefault="00113BE6" w:rsidP="00553216">
      <w:r>
        <w:separator/>
      </w:r>
    </w:p>
  </w:endnote>
  <w:endnote w:type="continuationSeparator" w:id="0">
    <w:p w14:paraId="5A988952" w14:textId="77777777" w:rsidR="00113BE6" w:rsidRDefault="00113BE6" w:rsidP="00553216">
      <w:r>
        <w:continuationSeparator/>
      </w:r>
    </w:p>
  </w:endnote>
  <w:endnote w:type="continuationNotice" w:id="1">
    <w:p w14:paraId="0AA86B1E" w14:textId="77777777" w:rsidR="00113BE6" w:rsidRDefault="00113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210F" w14:textId="0C10B1AE" w:rsidR="00113BE6" w:rsidRDefault="00113BE6" w:rsidP="008C708D">
    <w:pPr>
      <w:pStyle w:val="Sidefod"/>
      <w:jc w:val="right"/>
    </w:pPr>
    <w:r>
      <w:fldChar w:fldCharType="begin"/>
    </w:r>
    <w:r>
      <w:instrText xml:space="preserve"> PAGE   \* MERGEFORMAT </w:instrText>
    </w:r>
    <w:r>
      <w:fldChar w:fldCharType="separate"/>
    </w:r>
    <w:r w:rsidR="00F13657">
      <w:rPr>
        <w:noProof/>
      </w:rPr>
      <w:t>1</w:t>
    </w:r>
    <w:r>
      <w:fldChar w:fldCharType="end"/>
    </w:r>
  </w:p>
  <w:p w14:paraId="23272AAC" w14:textId="77777777" w:rsidR="00113BE6" w:rsidRDefault="00113BE6" w:rsidP="008C708D">
    <w:pPr>
      <w:pStyle w:val="Sidefod"/>
    </w:pPr>
    <w:r>
      <w:rPr>
        <w:noProof/>
      </w:rPr>
      <w:drawing>
        <wp:inline distT="0" distB="0" distL="0" distR="0" wp14:anchorId="0CAA4487" wp14:editId="7B13A5D0">
          <wp:extent cx="971550" cy="333375"/>
          <wp:effectExtent l="0" t="0" r="0" b="0"/>
          <wp:docPr id="1" name="Billede 1" descr="fin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33375"/>
                  </a:xfrm>
                  <a:prstGeom prst="rect">
                    <a:avLst/>
                  </a:prstGeom>
                  <a:noFill/>
                  <a:ln>
                    <a:noFill/>
                  </a:ln>
                </pic:spPr>
              </pic:pic>
            </a:graphicData>
          </a:graphic>
        </wp:inline>
      </w:drawing>
    </w:r>
    <w:r>
      <w:tab/>
      <w:t xml:space="preserve">   </w:t>
    </w:r>
    <w:r w:rsidRPr="00673BF5">
      <w:rPr>
        <w:sz w:val="18"/>
        <w:szCs w:val="18"/>
      </w:rPr>
      <w:t xml:space="preserve">Finanstilsynet – </w:t>
    </w:r>
    <w:r>
      <w:rPr>
        <w:sz w:val="18"/>
        <w:szCs w:val="18"/>
      </w:rPr>
      <w:t>Århusgade 110 – 2100</w:t>
    </w:r>
    <w:r w:rsidRPr="00673BF5">
      <w:rPr>
        <w:sz w:val="18"/>
        <w:szCs w:val="18"/>
      </w:rPr>
      <w:t xml:space="preserve"> </w:t>
    </w:r>
    <w:r>
      <w:rPr>
        <w:sz w:val="18"/>
        <w:szCs w:val="18"/>
      </w:rPr>
      <w:t>København Ø</w:t>
    </w:r>
    <w:r w:rsidRPr="00673BF5">
      <w:rPr>
        <w:sz w:val="18"/>
        <w:szCs w:val="18"/>
      </w:rPr>
      <w:t xml:space="preserve"> – Telefon 33 55 82 82</w:t>
    </w:r>
    <w:r>
      <w:t xml:space="preserve"> </w:t>
    </w:r>
    <w:r w:rsidRPr="00673BF5">
      <w:rPr>
        <w:sz w:val="18"/>
        <w:szCs w:val="18"/>
      </w:rPr>
      <w:t>– Fax 33 55 82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4FB0" w14:textId="77777777" w:rsidR="00113BE6" w:rsidRDefault="00113BE6" w:rsidP="00553216">
      <w:r>
        <w:separator/>
      </w:r>
    </w:p>
  </w:footnote>
  <w:footnote w:type="continuationSeparator" w:id="0">
    <w:p w14:paraId="7C33842C" w14:textId="77777777" w:rsidR="00113BE6" w:rsidRDefault="00113BE6" w:rsidP="00553216">
      <w:r>
        <w:continuationSeparator/>
      </w:r>
    </w:p>
  </w:footnote>
  <w:footnote w:type="continuationNotice" w:id="1">
    <w:p w14:paraId="1949C073" w14:textId="77777777" w:rsidR="00113BE6" w:rsidRDefault="00113B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D7AD" w14:textId="77777777" w:rsidR="00113BE6" w:rsidRDefault="00113BE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5E2"/>
    <w:multiLevelType w:val="hybridMultilevel"/>
    <w:tmpl w:val="53A2DA68"/>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03FE5E61"/>
    <w:multiLevelType w:val="hybridMultilevel"/>
    <w:tmpl w:val="DBDE70F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B47C92"/>
    <w:multiLevelType w:val="hybridMultilevel"/>
    <w:tmpl w:val="1BA293A0"/>
    <w:lvl w:ilvl="0" w:tplc="04060017">
      <w:start w:val="1"/>
      <w:numFmt w:val="lowerLetter"/>
      <w:lvlText w:val="%1)"/>
      <w:lvlJc w:val="left"/>
      <w:pPr>
        <w:ind w:left="1900" w:hanging="360"/>
      </w:pPr>
    </w:lvl>
    <w:lvl w:ilvl="1" w:tplc="04060019" w:tentative="1">
      <w:start w:val="1"/>
      <w:numFmt w:val="lowerLetter"/>
      <w:lvlText w:val="%2."/>
      <w:lvlJc w:val="left"/>
      <w:pPr>
        <w:ind w:left="2620" w:hanging="360"/>
      </w:pPr>
    </w:lvl>
    <w:lvl w:ilvl="2" w:tplc="0406001B" w:tentative="1">
      <w:start w:val="1"/>
      <w:numFmt w:val="lowerRoman"/>
      <w:lvlText w:val="%3."/>
      <w:lvlJc w:val="right"/>
      <w:pPr>
        <w:ind w:left="3340" w:hanging="180"/>
      </w:pPr>
    </w:lvl>
    <w:lvl w:ilvl="3" w:tplc="0406000F" w:tentative="1">
      <w:start w:val="1"/>
      <w:numFmt w:val="decimal"/>
      <w:lvlText w:val="%4."/>
      <w:lvlJc w:val="left"/>
      <w:pPr>
        <w:ind w:left="4060" w:hanging="360"/>
      </w:pPr>
    </w:lvl>
    <w:lvl w:ilvl="4" w:tplc="04060019" w:tentative="1">
      <w:start w:val="1"/>
      <w:numFmt w:val="lowerLetter"/>
      <w:lvlText w:val="%5."/>
      <w:lvlJc w:val="left"/>
      <w:pPr>
        <w:ind w:left="4780" w:hanging="360"/>
      </w:pPr>
    </w:lvl>
    <w:lvl w:ilvl="5" w:tplc="0406001B" w:tentative="1">
      <w:start w:val="1"/>
      <w:numFmt w:val="lowerRoman"/>
      <w:lvlText w:val="%6."/>
      <w:lvlJc w:val="right"/>
      <w:pPr>
        <w:ind w:left="5500" w:hanging="180"/>
      </w:pPr>
    </w:lvl>
    <w:lvl w:ilvl="6" w:tplc="0406000F" w:tentative="1">
      <w:start w:val="1"/>
      <w:numFmt w:val="decimal"/>
      <w:lvlText w:val="%7."/>
      <w:lvlJc w:val="left"/>
      <w:pPr>
        <w:ind w:left="6220" w:hanging="360"/>
      </w:pPr>
    </w:lvl>
    <w:lvl w:ilvl="7" w:tplc="04060019" w:tentative="1">
      <w:start w:val="1"/>
      <w:numFmt w:val="lowerLetter"/>
      <w:lvlText w:val="%8."/>
      <w:lvlJc w:val="left"/>
      <w:pPr>
        <w:ind w:left="6940" w:hanging="360"/>
      </w:pPr>
    </w:lvl>
    <w:lvl w:ilvl="8" w:tplc="0406001B" w:tentative="1">
      <w:start w:val="1"/>
      <w:numFmt w:val="lowerRoman"/>
      <w:lvlText w:val="%9."/>
      <w:lvlJc w:val="right"/>
      <w:pPr>
        <w:ind w:left="7660" w:hanging="180"/>
      </w:pPr>
    </w:lvl>
  </w:abstractNum>
  <w:abstractNum w:abstractNumId="3" w15:restartNumberingAfterBreak="0">
    <w:nsid w:val="109C6083"/>
    <w:multiLevelType w:val="hybridMultilevel"/>
    <w:tmpl w:val="F4AAB8F4"/>
    <w:lvl w:ilvl="0" w:tplc="04060017">
      <w:start w:val="1"/>
      <w:numFmt w:val="lowerLetter"/>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3385CD3"/>
    <w:multiLevelType w:val="hybridMultilevel"/>
    <w:tmpl w:val="A798FA90"/>
    <w:lvl w:ilvl="0" w:tplc="D398EB76">
      <w:start w:val="1"/>
      <w:numFmt w:val="lowerRoman"/>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8A1FB3"/>
    <w:multiLevelType w:val="hybridMultilevel"/>
    <w:tmpl w:val="84007068"/>
    <w:lvl w:ilvl="0" w:tplc="04060017">
      <w:start w:val="1"/>
      <w:numFmt w:val="lowerLetter"/>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E9A0623"/>
    <w:multiLevelType w:val="hybridMultilevel"/>
    <w:tmpl w:val="18CE0290"/>
    <w:lvl w:ilvl="0" w:tplc="04060017">
      <w:start w:val="16"/>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641816"/>
    <w:multiLevelType w:val="hybridMultilevel"/>
    <w:tmpl w:val="4FB0855C"/>
    <w:lvl w:ilvl="0" w:tplc="04060017">
      <w:start w:val="1"/>
      <w:numFmt w:val="lowerLetter"/>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5774C89"/>
    <w:multiLevelType w:val="hybridMultilevel"/>
    <w:tmpl w:val="DBDE70F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73C4264"/>
    <w:multiLevelType w:val="hybridMultilevel"/>
    <w:tmpl w:val="144ADF16"/>
    <w:lvl w:ilvl="0" w:tplc="04060017">
      <w:start w:val="1"/>
      <w:numFmt w:val="lowerLetter"/>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F40FF3"/>
    <w:multiLevelType w:val="hybridMultilevel"/>
    <w:tmpl w:val="5C2C94A8"/>
    <w:lvl w:ilvl="0" w:tplc="04060017">
      <w:start w:val="1"/>
      <w:numFmt w:val="lowerLetter"/>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BE4793"/>
    <w:multiLevelType w:val="hybridMultilevel"/>
    <w:tmpl w:val="488A420E"/>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466419A"/>
    <w:multiLevelType w:val="hybridMultilevel"/>
    <w:tmpl w:val="72CC937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A96155B"/>
    <w:multiLevelType w:val="hybridMultilevel"/>
    <w:tmpl w:val="0C5C8FFA"/>
    <w:lvl w:ilvl="0" w:tplc="04060017">
      <w:start w:val="1"/>
      <w:numFmt w:val="lowerLetter"/>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EE74572"/>
    <w:multiLevelType w:val="hybridMultilevel"/>
    <w:tmpl w:val="DBDE70F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F832D66"/>
    <w:multiLevelType w:val="hybridMultilevel"/>
    <w:tmpl w:val="72CC937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1D512DD"/>
    <w:multiLevelType w:val="hybridMultilevel"/>
    <w:tmpl w:val="A6021002"/>
    <w:lvl w:ilvl="0" w:tplc="04060017">
      <w:start w:val="1"/>
      <w:numFmt w:val="lowerLetter"/>
      <w:lvlText w:val="%1)"/>
      <w:lvlJc w:val="left"/>
      <w:pPr>
        <w:ind w:left="1180" w:hanging="360"/>
      </w:pPr>
    </w:lvl>
    <w:lvl w:ilvl="1" w:tplc="04060017">
      <w:start w:val="1"/>
      <w:numFmt w:val="lowerLetter"/>
      <w:lvlText w:val="%2)"/>
      <w:lvlJc w:val="left"/>
      <w:pPr>
        <w:ind w:left="1900" w:hanging="360"/>
      </w:pPr>
    </w:lvl>
    <w:lvl w:ilvl="2" w:tplc="0406001B" w:tentative="1">
      <w:start w:val="1"/>
      <w:numFmt w:val="lowerRoman"/>
      <w:lvlText w:val="%3."/>
      <w:lvlJc w:val="right"/>
      <w:pPr>
        <w:ind w:left="2620" w:hanging="180"/>
      </w:pPr>
    </w:lvl>
    <w:lvl w:ilvl="3" w:tplc="0406000F" w:tentative="1">
      <w:start w:val="1"/>
      <w:numFmt w:val="decimal"/>
      <w:lvlText w:val="%4."/>
      <w:lvlJc w:val="left"/>
      <w:pPr>
        <w:ind w:left="3340" w:hanging="360"/>
      </w:pPr>
    </w:lvl>
    <w:lvl w:ilvl="4" w:tplc="04060019" w:tentative="1">
      <w:start w:val="1"/>
      <w:numFmt w:val="lowerLetter"/>
      <w:lvlText w:val="%5."/>
      <w:lvlJc w:val="left"/>
      <w:pPr>
        <w:ind w:left="4060" w:hanging="360"/>
      </w:pPr>
    </w:lvl>
    <w:lvl w:ilvl="5" w:tplc="0406001B" w:tentative="1">
      <w:start w:val="1"/>
      <w:numFmt w:val="lowerRoman"/>
      <w:lvlText w:val="%6."/>
      <w:lvlJc w:val="right"/>
      <w:pPr>
        <w:ind w:left="4780" w:hanging="180"/>
      </w:pPr>
    </w:lvl>
    <w:lvl w:ilvl="6" w:tplc="0406000F" w:tentative="1">
      <w:start w:val="1"/>
      <w:numFmt w:val="decimal"/>
      <w:lvlText w:val="%7."/>
      <w:lvlJc w:val="left"/>
      <w:pPr>
        <w:ind w:left="5500" w:hanging="360"/>
      </w:pPr>
    </w:lvl>
    <w:lvl w:ilvl="7" w:tplc="04060019" w:tentative="1">
      <w:start w:val="1"/>
      <w:numFmt w:val="lowerLetter"/>
      <w:lvlText w:val="%8."/>
      <w:lvlJc w:val="left"/>
      <w:pPr>
        <w:ind w:left="6220" w:hanging="360"/>
      </w:pPr>
    </w:lvl>
    <w:lvl w:ilvl="8" w:tplc="0406001B" w:tentative="1">
      <w:start w:val="1"/>
      <w:numFmt w:val="lowerRoman"/>
      <w:lvlText w:val="%9."/>
      <w:lvlJc w:val="right"/>
      <w:pPr>
        <w:ind w:left="6940" w:hanging="180"/>
      </w:pPr>
    </w:lvl>
  </w:abstractNum>
  <w:abstractNum w:abstractNumId="17" w15:restartNumberingAfterBreak="0">
    <w:nsid w:val="53331557"/>
    <w:multiLevelType w:val="hybridMultilevel"/>
    <w:tmpl w:val="042AF9E0"/>
    <w:lvl w:ilvl="0" w:tplc="04060017">
      <w:start w:val="1"/>
      <w:numFmt w:val="lowerLetter"/>
      <w:lvlText w:val="%1)"/>
      <w:lvlJc w:val="left"/>
      <w:pPr>
        <w:ind w:left="1900" w:hanging="360"/>
      </w:pPr>
    </w:lvl>
    <w:lvl w:ilvl="1" w:tplc="04060019" w:tentative="1">
      <w:start w:val="1"/>
      <w:numFmt w:val="lowerLetter"/>
      <w:lvlText w:val="%2."/>
      <w:lvlJc w:val="left"/>
      <w:pPr>
        <w:ind w:left="2620" w:hanging="360"/>
      </w:pPr>
    </w:lvl>
    <w:lvl w:ilvl="2" w:tplc="0406001B" w:tentative="1">
      <w:start w:val="1"/>
      <w:numFmt w:val="lowerRoman"/>
      <w:lvlText w:val="%3."/>
      <w:lvlJc w:val="right"/>
      <w:pPr>
        <w:ind w:left="3340" w:hanging="180"/>
      </w:pPr>
    </w:lvl>
    <w:lvl w:ilvl="3" w:tplc="0406000F" w:tentative="1">
      <w:start w:val="1"/>
      <w:numFmt w:val="decimal"/>
      <w:lvlText w:val="%4."/>
      <w:lvlJc w:val="left"/>
      <w:pPr>
        <w:ind w:left="4060" w:hanging="360"/>
      </w:pPr>
    </w:lvl>
    <w:lvl w:ilvl="4" w:tplc="04060019" w:tentative="1">
      <w:start w:val="1"/>
      <w:numFmt w:val="lowerLetter"/>
      <w:lvlText w:val="%5."/>
      <w:lvlJc w:val="left"/>
      <w:pPr>
        <w:ind w:left="4780" w:hanging="360"/>
      </w:pPr>
    </w:lvl>
    <w:lvl w:ilvl="5" w:tplc="0406001B" w:tentative="1">
      <w:start w:val="1"/>
      <w:numFmt w:val="lowerRoman"/>
      <w:lvlText w:val="%6."/>
      <w:lvlJc w:val="right"/>
      <w:pPr>
        <w:ind w:left="5500" w:hanging="180"/>
      </w:pPr>
    </w:lvl>
    <w:lvl w:ilvl="6" w:tplc="0406000F" w:tentative="1">
      <w:start w:val="1"/>
      <w:numFmt w:val="decimal"/>
      <w:lvlText w:val="%7."/>
      <w:lvlJc w:val="left"/>
      <w:pPr>
        <w:ind w:left="6220" w:hanging="360"/>
      </w:pPr>
    </w:lvl>
    <w:lvl w:ilvl="7" w:tplc="04060019" w:tentative="1">
      <w:start w:val="1"/>
      <w:numFmt w:val="lowerLetter"/>
      <w:lvlText w:val="%8."/>
      <w:lvlJc w:val="left"/>
      <w:pPr>
        <w:ind w:left="6940" w:hanging="360"/>
      </w:pPr>
    </w:lvl>
    <w:lvl w:ilvl="8" w:tplc="0406001B" w:tentative="1">
      <w:start w:val="1"/>
      <w:numFmt w:val="lowerRoman"/>
      <w:lvlText w:val="%9."/>
      <w:lvlJc w:val="right"/>
      <w:pPr>
        <w:ind w:left="7660" w:hanging="180"/>
      </w:pPr>
    </w:lvl>
  </w:abstractNum>
  <w:abstractNum w:abstractNumId="18" w15:restartNumberingAfterBreak="0">
    <w:nsid w:val="539E0DEC"/>
    <w:multiLevelType w:val="hybridMultilevel"/>
    <w:tmpl w:val="72CC937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47261B5"/>
    <w:multiLevelType w:val="hybridMultilevel"/>
    <w:tmpl w:val="33582590"/>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75209C2"/>
    <w:multiLevelType w:val="hybridMultilevel"/>
    <w:tmpl w:val="C05AED0E"/>
    <w:lvl w:ilvl="0" w:tplc="F93AEB70">
      <w:start w:val="1"/>
      <w:numFmt w:val="decimal"/>
      <w:lvlText w:val="%1."/>
      <w:lvlJc w:val="left"/>
      <w:pPr>
        <w:ind w:left="357" w:hanging="35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90F2F72"/>
    <w:multiLevelType w:val="hybridMultilevel"/>
    <w:tmpl w:val="8A2ADF94"/>
    <w:lvl w:ilvl="0" w:tplc="0406000F">
      <w:start w:val="1"/>
      <w:numFmt w:val="decimal"/>
      <w:lvlText w:val="%1."/>
      <w:lvlJc w:val="left"/>
      <w:pPr>
        <w:tabs>
          <w:tab w:val="num" w:pos="720"/>
        </w:tabs>
        <w:ind w:left="720" w:hanging="360"/>
      </w:pPr>
    </w:lvl>
    <w:lvl w:ilvl="1" w:tplc="E3A82D46">
      <w:start w:val="1"/>
      <w:numFmt w:val="lowerLetter"/>
      <w:lvlText w:val="%2)"/>
      <w:lvlJc w:val="left"/>
      <w:pPr>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6ACF6490"/>
    <w:multiLevelType w:val="hybridMultilevel"/>
    <w:tmpl w:val="1BA293A0"/>
    <w:lvl w:ilvl="0" w:tplc="04060017">
      <w:start w:val="1"/>
      <w:numFmt w:val="lowerLetter"/>
      <w:lvlText w:val="%1)"/>
      <w:lvlJc w:val="left"/>
      <w:pPr>
        <w:ind w:left="1900" w:hanging="360"/>
      </w:pPr>
    </w:lvl>
    <w:lvl w:ilvl="1" w:tplc="04060019" w:tentative="1">
      <w:start w:val="1"/>
      <w:numFmt w:val="lowerLetter"/>
      <w:lvlText w:val="%2."/>
      <w:lvlJc w:val="left"/>
      <w:pPr>
        <w:ind w:left="2620" w:hanging="360"/>
      </w:pPr>
    </w:lvl>
    <w:lvl w:ilvl="2" w:tplc="0406001B" w:tentative="1">
      <w:start w:val="1"/>
      <w:numFmt w:val="lowerRoman"/>
      <w:lvlText w:val="%3."/>
      <w:lvlJc w:val="right"/>
      <w:pPr>
        <w:ind w:left="3340" w:hanging="180"/>
      </w:pPr>
    </w:lvl>
    <w:lvl w:ilvl="3" w:tplc="0406000F" w:tentative="1">
      <w:start w:val="1"/>
      <w:numFmt w:val="decimal"/>
      <w:lvlText w:val="%4."/>
      <w:lvlJc w:val="left"/>
      <w:pPr>
        <w:ind w:left="4060" w:hanging="360"/>
      </w:pPr>
    </w:lvl>
    <w:lvl w:ilvl="4" w:tplc="04060019" w:tentative="1">
      <w:start w:val="1"/>
      <w:numFmt w:val="lowerLetter"/>
      <w:lvlText w:val="%5."/>
      <w:lvlJc w:val="left"/>
      <w:pPr>
        <w:ind w:left="4780" w:hanging="360"/>
      </w:pPr>
    </w:lvl>
    <w:lvl w:ilvl="5" w:tplc="0406001B" w:tentative="1">
      <w:start w:val="1"/>
      <w:numFmt w:val="lowerRoman"/>
      <w:lvlText w:val="%6."/>
      <w:lvlJc w:val="right"/>
      <w:pPr>
        <w:ind w:left="5500" w:hanging="180"/>
      </w:pPr>
    </w:lvl>
    <w:lvl w:ilvl="6" w:tplc="0406000F" w:tentative="1">
      <w:start w:val="1"/>
      <w:numFmt w:val="decimal"/>
      <w:lvlText w:val="%7."/>
      <w:lvlJc w:val="left"/>
      <w:pPr>
        <w:ind w:left="6220" w:hanging="360"/>
      </w:pPr>
    </w:lvl>
    <w:lvl w:ilvl="7" w:tplc="04060019" w:tentative="1">
      <w:start w:val="1"/>
      <w:numFmt w:val="lowerLetter"/>
      <w:lvlText w:val="%8."/>
      <w:lvlJc w:val="left"/>
      <w:pPr>
        <w:ind w:left="6940" w:hanging="360"/>
      </w:pPr>
    </w:lvl>
    <w:lvl w:ilvl="8" w:tplc="0406001B" w:tentative="1">
      <w:start w:val="1"/>
      <w:numFmt w:val="lowerRoman"/>
      <w:lvlText w:val="%9."/>
      <w:lvlJc w:val="right"/>
      <w:pPr>
        <w:ind w:left="7660" w:hanging="180"/>
      </w:pPr>
    </w:lvl>
  </w:abstractNum>
  <w:abstractNum w:abstractNumId="23" w15:restartNumberingAfterBreak="0">
    <w:nsid w:val="6FC23BEB"/>
    <w:multiLevelType w:val="hybridMultilevel"/>
    <w:tmpl w:val="DBDE70F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21C5A9D"/>
    <w:multiLevelType w:val="hybridMultilevel"/>
    <w:tmpl w:val="72CC937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48F699B"/>
    <w:multiLevelType w:val="hybridMultilevel"/>
    <w:tmpl w:val="68C604F2"/>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6" w15:restartNumberingAfterBreak="0">
    <w:nsid w:val="75B72C58"/>
    <w:multiLevelType w:val="hybridMultilevel"/>
    <w:tmpl w:val="1BA293A0"/>
    <w:lvl w:ilvl="0" w:tplc="04060017">
      <w:start w:val="1"/>
      <w:numFmt w:val="lowerLetter"/>
      <w:lvlText w:val="%1)"/>
      <w:lvlJc w:val="left"/>
      <w:pPr>
        <w:ind w:left="1900" w:hanging="360"/>
      </w:pPr>
    </w:lvl>
    <w:lvl w:ilvl="1" w:tplc="04060019" w:tentative="1">
      <w:start w:val="1"/>
      <w:numFmt w:val="lowerLetter"/>
      <w:lvlText w:val="%2."/>
      <w:lvlJc w:val="left"/>
      <w:pPr>
        <w:ind w:left="2620" w:hanging="360"/>
      </w:pPr>
    </w:lvl>
    <w:lvl w:ilvl="2" w:tplc="0406001B" w:tentative="1">
      <w:start w:val="1"/>
      <w:numFmt w:val="lowerRoman"/>
      <w:lvlText w:val="%3."/>
      <w:lvlJc w:val="right"/>
      <w:pPr>
        <w:ind w:left="3340" w:hanging="180"/>
      </w:pPr>
    </w:lvl>
    <w:lvl w:ilvl="3" w:tplc="0406000F" w:tentative="1">
      <w:start w:val="1"/>
      <w:numFmt w:val="decimal"/>
      <w:lvlText w:val="%4."/>
      <w:lvlJc w:val="left"/>
      <w:pPr>
        <w:ind w:left="4060" w:hanging="360"/>
      </w:pPr>
    </w:lvl>
    <w:lvl w:ilvl="4" w:tplc="04060019" w:tentative="1">
      <w:start w:val="1"/>
      <w:numFmt w:val="lowerLetter"/>
      <w:lvlText w:val="%5."/>
      <w:lvlJc w:val="left"/>
      <w:pPr>
        <w:ind w:left="4780" w:hanging="360"/>
      </w:pPr>
    </w:lvl>
    <w:lvl w:ilvl="5" w:tplc="0406001B" w:tentative="1">
      <w:start w:val="1"/>
      <w:numFmt w:val="lowerRoman"/>
      <w:lvlText w:val="%6."/>
      <w:lvlJc w:val="right"/>
      <w:pPr>
        <w:ind w:left="5500" w:hanging="180"/>
      </w:pPr>
    </w:lvl>
    <w:lvl w:ilvl="6" w:tplc="0406000F" w:tentative="1">
      <w:start w:val="1"/>
      <w:numFmt w:val="decimal"/>
      <w:lvlText w:val="%7."/>
      <w:lvlJc w:val="left"/>
      <w:pPr>
        <w:ind w:left="6220" w:hanging="360"/>
      </w:pPr>
    </w:lvl>
    <w:lvl w:ilvl="7" w:tplc="04060019" w:tentative="1">
      <w:start w:val="1"/>
      <w:numFmt w:val="lowerLetter"/>
      <w:lvlText w:val="%8."/>
      <w:lvlJc w:val="left"/>
      <w:pPr>
        <w:ind w:left="6940" w:hanging="360"/>
      </w:pPr>
    </w:lvl>
    <w:lvl w:ilvl="8" w:tplc="0406001B" w:tentative="1">
      <w:start w:val="1"/>
      <w:numFmt w:val="lowerRoman"/>
      <w:lvlText w:val="%9."/>
      <w:lvlJc w:val="right"/>
      <w:pPr>
        <w:ind w:left="7660" w:hanging="180"/>
      </w:pPr>
    </w:lvl>
  </w:abstractNum>
  <w:abstractNum w:abstractNumId="27" w15:restartNumberingAfterBreak="0">
    <w:nsid w:val="78DB4443"/>
    <w:multiLevelType w:val="hybridMultilevel"/>
    <w:tmpl w:val="DBDE70F2"/>
    <w:lvl w:ilvl="0" w:tplc="D398EB7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92F55CB"/>
    <w:multiLevelType w:val="hybridMultilevel"/>
    <w:tmpl w:val="AA064060"/>
    <w:lvl w:ilvl="0" w:tplc="D398EB76">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20"/>
  </w:num>
  <w:num w:numId="3">
    <w:abstractNumId w:val="28"/>
  </w:num>
  <w:num w:numId="4">
    <w:abstractNumId w:val="11"/>
  </w:num>
  <w:num w:numId="5">
    <w:abstractNumId w:val="7"/>
  </w:num>
  <w:num w:numId="6">
    <w:abstractNumId w:val="9"/>
  </w:num>
  <w:num w:numId="7">
    <w:abstractNumId w:val="24"/>
  </w:num>
  <w:num w:numId="8">
    <w:abstractNumId w:val="19"/>
  </w:num>
  <w:num w:numId="9">
    <w:abstractNumId w:val="4"/>
  </w:num>
  <w:num w:numId="10">
    <w:abstractNumId w:val="5"/>
  </w:num>
  <w:num w:numId="11">
    <w:abstractNumId w:val="0"/>
  </w:num>
  <w:num w:numId="12">
    <w:abstractNumId w:val="10"/>
  </w:num>
  <w:num w:numId="13">
    <w:abstractNumId w:val="3"/>
  </w:num>
  <w:num w:numId="14">
    <w:abstractNumId w:val="13"/>
  </w:num>
  <w:num w:numId="15">
    <w:abstractNumId w:val="16"/>
  </w:num>
  <w:num w:numId="16">
    <w:abstractNumId w:val="22"/>
  </w:num>
  <w:num w:numId="17">
    <w:abstractNumId w:val="27"/>
  </w:num>
  <w:num w:numId="18">
    <w:abstractNumId w:val="14"/>
  </w:num>
  <w:num w:numId="19">
    <w:abstractNumId w:val="8"/>
  </w:num>
  <w:num w:numId="20">
    <w:abstractNumId w:val="23"/>
  </w:num>
  <w:num w:numId="21">
    <w:abstractNumId w:val="1"/>
  </w:num>
  <w:num w:numId="22">
    <w:abstractNumId w:val="17"/>
  </w:num>
  <w:num w:numId="23">
    <w:abstractNumId w:val="12"/>
  </w:num>
  <w:num w:numId="24">
    <w:abstractNumId w:val="15"/>
  </w:num>
  <w:num w:numId="25">
    <w:abstractNumId w:val="18"/>
  </w:num>
  <w:num w:numId="26">
    <w:abstractNumId w:val="25"/>
  </w:num>
  <w:num w:numId="27">
    <w:abstractNumId w:val="26"/>
  </w:num>
  <w:num w:numId="28">
    <w:abstractNumId w:val="6"/>
  </w:num>
  <w:num w:numId="2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Kontrol47" w:val="Empty"/>
    <w:docVar w:name="Kontrol48" w:val="Empty"/>
    <w:docVar w:name="Kontrol49" w:val="Empty"/>
    <w:docVar w:name="Kontrol50" w:val="Empty"/>
    <w:docVar w:name="Kontrol51" w:val="Empty"/>
    <w:docVar w:name="Kontrol52" w:val="Empty"/>
    <w:docVar w:name="Kontrol53" w:val="Empty"/>
    <w:docVar w:name="Kontrol54" w:val="Empty"/>
    <w:docVar w:name="Kontrol55" w:val="Empty"/>
    <w:docVar w:name="Kontrol56" w:val="Empty"/>
    <w:docVar w:name="Kontrol57" w:val="Empty"/>
    <w:docVar w:name="Kontrol58" w:val="Empty"/>
    <w:docVar w:name="OLE_LINK1" w:val="Empty"/>
    <w:docVar w:name="OLE_LINK2" w:val="Empty"/>
    <w:docVar w:name="OLE_LINK3" w:val="Empty"/>
    <w:docVar w:name="OLE_LINK4" w:val="Empty"/>
    <w:docVar w:name="OLE_LINK5" w:val="Empty"/>
    <w:docVar w:name="Tekst49" w:val="Empty"/>
  </w:docVars>
  <w:rsids>
    <w:rsidRoot w:val="003F2F31"/>
    <w:rsid w:val="00001969"/>
    <w:rsid w:val="000056A4"/>
    <w:rsid w:val="00011D16"/>
    <w:rsid w:val="0001386B"/>
    <w:rsid w:val="00016698"/>
    <w:rsid w:val="00017973"/>
    <w:rsid w:val="000251C9"/>
    <w:rsid w:val="0003579A"/>
    <w:rsid w:val="00037846"/>
    <w:rsid w:val="000424E2"/>
    <w:rsid w:val="00051C24"/>
    <w:rsid w:val="0006249C"/>
    <w:rsid w:val="00063EED"/>
    <w:rsid w:val="000672A3"/>
    <w:rsid w:val="000675D0"/>
    <w:rsid w:val="00070851"/>
    <w:rsid w:val="00071637"/>
    <w:rsid w:val="00071BF7"/>
    <w:rsid w:val="0007259B"/>
    <w:rsid w:val="00082C78"/>
    <w:rsid w:val="0008391B"/>
    <w:rsid w:val="00083E63"/>
    <w:rsid w:val="0009590B"/>
    <w:rsid w:val="00096172"/>
    <w:rsid w:val="000A1FF6"/>
    <w:rsid w:val="000A4DA0"/>
    <w:rsid w:val="000B1FD1"/>
    <w:rsid w:val="000B3DFE"/>
    <w:rsid w:val="000B6C46"/>
    <w:rsid w:val="000B6F26"/>
    <w:rsid w:val="000C1616"/>
    <w:rsid w:val="000C24F1"/>
    <w:rsid w:val="000C4893"/>
    <w:rsid w:val="000C56EE"/>
    <w:rsid w:val="000C6168"/>
    <w:rsid w:val="000D1BE6"/>
    <w:rsid w:val="000D5019"/>
    <w:rsid w:val="000E4B50"/>
    <w:rsid w:val="000E4D80"/>
    <w:rsid w:val="000F0494"/>
    <w:rsid w:val="000F1D6F"/>
    <w:rsid w:val="000F6382"/>
    <w:rsid w:val="000F773A"/>
    <w:rsid w:val="000F7E6D"/>
    <w:rsid w:val="0010135C"/>
    <w:rsid w:val="001024AF"/>
    <w:rsid w:val="00104AFC"/>
    <w:rsid w:val="00106F0F"/>
    <w:rsid w:val="00113BE6"/>
    <w:rsid w:val="00114526"/>
    <w:rsid w:val="0011763B"/>
    <w:rsid w:val="00125772"/>
    <w:rsid w:val="00127CE9"/>
    <w:rsid w:val="00134AE4"/>
    <w:rsid w:val="00137E13"/>
    <w:rsid w:val="0014259E"/>
    <w:rsid w:val="00142CEF"/>
    <w:rsid w:val="001466D3"/>
    <w:rsid w:val="00152373"/>
    <w:rsid w:val="0016414F"/>
    <w:rsid w:val="0016772E"/>
    <w:rsid w:val="00173C39"/>
    <w:rsid w:val="00177C10"/>
    <w:rsid w:val="001809D7"/>
    <w:rsid w:val="00182C32"/>
    <w:rsid w:val="00184712"/>
    <w:rsid w:val="001877A1"/>
    <w:rsid w:val="00187A63"/>
    <w:rsid w:val="00187D4A"/>
    <w:rsid w:val="001973C4"/>
    <w:rsid w:val="001B7461"/>
    <w:rsid w:val="001D2DB4"/>
    <w:rsid w:val="001D498A"/>
    <w:rsid w:val="001D7397"/>
    <w:rsid w:val="001E0433"/>
    <w:rsid w:val="001E1ED0"/>
    <w:rsid w:val="001E2950"/>
    <w:rsid w:val="001E385C"/>
    <w:rsid w:val="001F01E2"/>
    <w:rsid w:val="001F09D0"/>
    <w:rsid w:val="001F0E0E"/>
    <w:rsid w:val="001F158F"/>
    <w:rsid w:val="001F258D"/>
    <w:rsid w:val="00200B89"/>
    <w:rsid w:val="00200E10"/>
    <w:rsid w:val="00205488"/>
    <w:rsid w:val="00206E51"/>
    <w:rsid w:val="002070D8"/>
    <w:rsid w:val="002116F7"/>
    <w:rsid w:val="00212282"/>
    <w:rsid w:val="00221197"/>
    <w:rsid w:val="002363C4"/>
    <w:rsid w:val="00236A44"/>
    <w:rsid w:val="00240544"/>
    <w:rsid w:val="002427D3"/>
    <w:rsid w:val="00243665"/>
    <w:rsid w:val="00244DDC"/>
    <w:rsid w:val="002459F5"/>
    <w:rsid w:val="00246DD8"/>
    <w:rsid w:val="00246E41"/>
    <w:rsid w:val="002508D5"/>
    <w:rsid w:val="002655CE"/>
    <w:rsid w:val="00270255"/>
    <w:rsid w:val="002904F8"/>
    <w:rsid w:val="00290736"/>
    <w:rsid w:val="00291A2D"/>
    <w:rsid w:val="00295247"/>
    <w:rsid w:val="002978F0"/>
    <w:rsid w:val="002B138E"/>
    <w:rsid w:val="002B3FC6"/>
    <w:rsid w:val="002B4CD6"/>
    <w:rsid w:val="002B7006"/>
    <w:rsid w:val="002C1790"/>
    <w:rsid w:val="002C21F1"/>
    <w:rsid w:val="002C58C5"/>
    <w:rsid w:val="002C779F"/>
    <w:rsid w:val="002D35CD"/>
    <w:rsid w:val="002D4D04"/>
    <w:rsid w:val="002D7472"/>
    <w:rsid w:val="002E2BA5"/>
    <w:rsid w:val="002E423F"/>
    <w:rsid w:val="002E540F"/>
    <w:rsid w:val="002E6B92"/>
    <w:rsid w:val="002E7BB9"/>
    <w:rsid w:val="002F52A0"/>
    <w:rsid w:val="002F71BA"/>
    <w:rsid w:val="00305D34"/>
    <w:rsid w:val="00305F56"/>
    <w:rsid w:val="00313361"/>
    <w:rsid w:val="0032144A"/>
    <w:rsid w:val="00325786"/>
    <w:rsid w:val="0032732A"/>
    <w:rsid w:val="00333453"/>
    <w:rsid w:val="00336D35"/>
    <w:rsid w:val="003419E7"/>
    <w:rsid w:val="003441B4"/>
    <w:rsid w:val="00346C96"/>
    <w:rsid w:val="00352961"/>
    <w:rsid w:val="003545F3"/>
    <w:rsid w:val="00366A3A"/>
    <w:rsid w:val="00370D4A"/>
    <w:rsid w:val="00380B33"/>
    <w:rsid w:val="00386579"/>
    <w:rsid w:val="003954E8"/>
    <w:rsid w:val="00397229"/>
    <w:rsid w:val="003A2E9E"/>
    <w:rsid w:val="003A455B"/>
    <w:rsid w:val="003B7F90"/>
    <w:rsid w:val="003C33DB"/>
    <w:rsid w:val="003C3B95"/>
    <w:rsid w:val="003D3A68"/>
    <w:rsid w:val="003D40EC"/>
    <w:rsid w:val="003D588A"/>
    <w:rsid w:val="003D77D1"/>
    <w:rsid w:val="003E0BB3"/>
    <w:rsid w:val="003E6651"/>
    <w:rsid w:val="003E6BA0"/>
    <w:rsid w:val="003E6E41"/>
    <w:rsid w:val="003E7489"/>
    <w:rsid w:val="003F2238"/>
    <w:rsid w:val="003F2F31"/>
    <w:rsid w:val="003F495B"/>
    <w:rsid w:val="003F56FF"/>
    <w:rsid w:val="003F59FA"/>
    <w:rsid w:val="003F6DB7"/>
    <w:rsid w:val="00400B0A"/>
    <w:rsid w:val="0041311E"/>
    <w:rsid w:val="0041404D"/>
    <w:rsid w:val="0041571B"/>
    <w:rsid w:val="004203BA"/>
    <w:rsid w:val="00420BDA"/>
    <w:rsid w:val="0043020A"/>
    <w:rsid w:val="00443733"/>
    <w:rsid w:val="00445D11"/>
    <w:rsid w:val="00450815"/>
    <w:rsid w:val="00455A68"/>
    <w:rsid w:val="0045631E"/>
    <w:rsid w:val="00467AD7"/>
    <w:rsid w:val="00470293"/>
    <w:rsid w:val="004746BC"/>
    <w:rsid w:val="00483EF5"/>
    <w:rsid w:val="0049685A"/>
    <w:rsid w:val="004A035C"/>
    <w:rsid w:val="004A7E3B"/>
    <w:rsid w:val="004B6CAF"/>
    <w:rsid w:val="004B7C1A"/>
    <w:rsid w:val="004C2186"/>
    <w:rsid w:val="004C726F"/>
    <w:rsid w:val="004D6E7E"/>
    <w:rsid w:val="004E2DD3"/>
    <w:rsid w:val="004F7201"/>
    <w:rsid w:val="00501815"/>
    <w:rsid w:val="005036AC"/>
    <w:rsid w:val="005122E5"/>
    <w:rsid w:val="005268E3"/>
    <w:rsid w:val="00531A99"/>
    <w:rsid w:val="00532ADA"/>
    <w:rsid w:val="0053546C"/>
    <w:rsid w:val="00535734"/>
    <w:rsid w:val="00540A1C"/>
    <w:rsid w:val="00541D81"/>
    <w:rsid w:val="0054307A"/>
    <w:rsid w:val="0054694A"/>
    <w:rsid w:val="005469A3"/>
    <w:rsid w:val="00553216"/>
    <w:rsid w:val="00555027"/>
    <w:rsid w:val="00561DA0"/>
    <w:rsid w:val="00565150"/>
    <w:rsid w:val="005706BB"/>
    <w:rsid w:val="0058102F"/>
    <w:rsid w:val="00596F49"/>
    <w:rsid w:val="005B21B7"/>
    <w:rsid w:val="005C09AB"/>
    <w:rsid w:val="005C6605"/>
    <w:rsid w:val="005C6976"/>
    <w:rsid w:val="005D206E"/>
    <w:rsid w:val="005D3F9B"/>
    <w:rsid w:val="005D6A98"/>
    <w:rsid w:val="005E3018"/>
    <w:rsid w:val="005F32AD"/>
    <w:rsid w:val="005F5741"/>
    <w:rsid w:val="00605F50"/>
    <w:rsid w:val="0061624D"/>
    <w:rsid w:val="006200C5"/>
    <w:rsid w:val="00623D8A"/>
    <w:rsid w:val="00641934"/>
    <w:rsid w:val="00641BB8"/>
    <w:rsid w:val="00641F3B"/>
    <w:rsid w:val="00643D06"/>
    <w:rsid w:val="00646868"/>
    <w:rsid w:val="006543C6"/>
    <w:rsid w:val="00654AE6"/>
    <w:rsid w:val="006618B6"/>
    <w:rsid w:val="00663283"/>
    <w:rsid w:val="006663E7"/>
    <w:rsid w:val="00675565"/>
    <w:rsid w:val="0067782B"/>
    <w:rsid w:val="0068056F"/>
    <w:rsid w:val="00687D55"/>
    <w:rsid w:val="00690F0F"/>
    <w:rsid w:val="006925D0"/>
    <w:rsid w:val="006A502F"/>
    <w:rsid w:val="006A5E92"/>
    <w:rsid w:val="006A5FE0"/>
    <w:rsid w:val="006A72EA"/>
    <w:rsid w:val="006B19E0"/>
    <w:rsid w:val="006B3C16"/>
    <w:rsid w:val="006B5A56"/>
    <w:rsid w:val="006B6224"/>
    <w:rsid w:val="006B6827"/>
    <w:rsid w:val="006C0E80"/>
    <w:rsid w:val="006C226E"/>
    <w:rsid w:val="006C2C40"/>
    <w:rsid w:val="006C34F9"/>
    <w:rsid w:val="006C54A7"/>
    <w:rsid w:val="006C6075"/>
    <w:rsid w:val="006D53AC"/>
    <w:rsid w:val="006D6054"/>
    <w:rsid w:val="006E3FCA"/>
    <w:rsid w:val="006F2554"/>
    <w:rsid w:val="006F4017"/>
    <w:rsid w:val="00700D1B"/>
    <w:rsid w:val="007014F7"/>
    <w:rsid w:val="007043B4"/>
    <w:rsid w:val="0072688A"/>
    <w:rsid w:val="00730944"/>
    <w:rsid w:val="0073578F"/>
    <w:rsid w:val="00735FD7"/>
    <w:rsid w:val="007444B5"/>
    <w:rsid w:val="007524C4"/>
    <w:rsid w:val="007648FD"/>
    <w:rsid w:val="007657FB"/>
    <w:rsid w:val="007702F2"/>
    <w:rsid w:val="007717C7"/>
    <w:rsid w:val="007726F3"/>
    <w:rsid w:val="007733B4"/>
    <w:rsid w:val="00776F88"/>
    <w:rsid w:val="0079602E"/>
    <w:rsid w:val="007A34DB"/>
    <w:rsid w:val="007A5C2F"/>
    <w:rsid w:val="007A6525"/>
    <w:rsid w:val="007A6AA2"/>
    <w:rsid w:val="007B27BA"/>
    <w:rsid w:val="007B41CE"/>
    <w:rsid w:val="007B53B4"/>
    <w:rsid w:val="007B5607"/>
    <w:rsid w:val="007C3D9B"/>
    <w:rsid w:val="007D07F5"/>
    <w:rsid w:val="007E6E09"/>
    <w:rsid w:val="007F54D7"/>
    <w:rsid w:val="007F7FD8"/>
    <w:rsid w:val="00802F7D"/>
    <w:rsid w:val="00804ED6"/>
    <w:rsid w:val="008132BB"/>
    <w:rsid w:val="00817554"/>
    <w:rsid w:val="00820EAB"/>
    <w:rsid w:val="00822A18"/>
    <w:rsid w:val="0082304D"/>
    <w:rsid w:val="008235CE"/>
    <w:rsid w:val="008260A8"/>
    <w:rsid w:val="00827E65"/>
    <w:rsid w:val="008307CC"/>
    <w:rsid w:val="008367AD"/>
    <w:rsid w:val="008458D4"/>
    <w:rsid w:val="008472B9"/>
    <w:rsid w:val="00850527"/>
    <w:rsid w:val="00855188"/>
    <w:rsid w:val="00860457"/>
    <w:rsid w:val="00861273"/>
    <w:rsid w:val="00872B03"/>
    <w:rsid w:val="008861E2"/>
    <w:rsid w:val="00887036"/>
    <w:rsid w:val="0089093F"/>
    <w:rsid w:val="00891E98"/>
    <w:rsid w:val="008A42DF"/>
    <w:rsid w:val="008A674B"/>
    <w:rsid w:val="008B4433"/>
    <w:rsid w:val="008B4B39"/>
    <w:rsid w:val="008C4922"/>
    <w:rsid w:val="008C6557"/>
    <w:rsid w:val="008C708D"/>
    <w:rsid w:val="008D0570"/>
    <w:rsid w:val="008D0B49"/>
    <w:rsid w:val="008D232D"/>
    <w:rsid w:val="008D3899"/>
    <w:rsid w:val="008F0371"/>
    <w:rsid w:val="008F05DF"/>
    <w:rsid w:val="00903B7A"/>
    <w:rsid w:val="00907A1A"/>
    <w:rsid w:val="00911F55"/>
    <w:rsid w:val="009134AE"/>
    <w:rsid w:val="00930977"/>
    <w:rsid w:val="00930FEC"/>
    <w:rsid w:val="00935C2F"/>
    <w:rsid w:val="0093668E"/>
    <w:rsid w:val="00945006"/>
    <w:rsid w:val="009510EA"/>
    <w:rsid w:val="0095757C"/>
    <w:rsid w:val="009609C7"/>
    <w:rsid w:val="00962895"/>
    <w:rsid w:val="00971A70"/>
    <w:rsid w:val="00974829"/>
    <w:rsid w:val="00981E59"/>
    <w:rsid w:val="00984512"/>
    <w:rsid w:val="00985BBD"/>
    <w:rsid w:val="00994379"/>
    <w:rsid w:val="0099786D"/>
    <w:rsid w:val="009B3C57"/>
    <w:rsid w:val="009C103A"/>
    <w:rsid w:val="009C4E7B"/>
    <w:rsid w:val="009C6B5D"/>
    <w:rsid w:val="009E06AF"/>
    <w:rsid w:val="009E15D6"/>
    <w:rsid w:val="009E23CB"/>
    <w:rsid w:val="009E2E83"/>
    <w:rsid w:val="009E3283"/>
    <w:rsid w:val="009E429D"/>
    <w:rsid w:val="009E6F55"/>
    <w:rsid w:val="009F09C3"/>
    <w:rsid w:val="009F0C56"/>
    <w:rsid w:val="009F536A"/>
    <w:rsid w:val="00A00E3E"/>
    <w:rsid w:val="00A02B5C"/>
    <w:rsid w:val="00A06A23"/>
    <w:rsid w:val="00A101C2"/>
    <w:rsid w:val="00A11851"/>
    <w:rsid w:val="00A11CE3"/>
    <w:rsid w:val="00A138CF"/>
    <w:rsid w:val="00A13C2F"/>
    <w:rsid w:val="00A1573C"/>
    <w:rsid w:val="00A21E09"/>
    <w:rsid w:val="00A24E06"/>
    <w:rsid w:val="00A26035"/>
    <w:rsid w:val="00A27AB1"/>
    <w:rsid w:val="00A316E3"/>
    <w:rsid w:val="00A3299B"/>
    <w:rsid w:val="00A356A2"/>
    <w:rsid w:val="00A40CA8"/>
    <w:rsid w:val="00A41B9F"/>
    <w:rsid w:val="00A46721"/>
    <w:rsid w:val="00A470FB"/>
    <w:rsid w:val="00A54119"/>
    <w:rsid w:val="00A55F40"/>
    <w:rsid w:val="00A6587F"/>
    <w:rsid w:val="00A72603"/>
    <w:rsid w:val="00A743AB"/>
    <w:rsid w:val="00A7711D"/>
    <w:rsid w:val="00A816E3"/>
    <w:rsid w:val="00A81CA0"/>
    <w:rsid w:val="00A81FA0"/>
    <w:rsid w:val="00A8681E"/>
    <w:rsid w:val="00A91DA3"/>
    <w:rsid w:val="00A936F2"/>
    <w:rsid w:val="00A93AF9"/>
    <w:rsid w:val="00AA08DB"/>
    <w:rsid w:val="00AA102A"/>
    <w:rsid w:val="00AA2735"/>
    <w:rsid w:val="00AA2C03"/>
    <w:rsid w:val="00AA4DE1"/>
    <w:rsid w:val="00AB2B16"/>
    <w:rsid w:val="00AB3BD2"/>
    <w:rsid w:val="00AC4494"/>
    <w:rsid w:val="00AC51AF"/>
    <w:rsid w:val="00AC634A"/>
    <w:rsid w:val="00AD18BA"/>
    <w:rsid w:val="00AD40F6"/>
    <w:rsid w:val="00AE4696"/>
    <w:rsid w:val="00AF1BB3"/>
    <w:rsid w:val="00B015FD"/>
    <w:rsid w:val="00B02CF1"/>
    <w:rsid w:val="00B05FE3"/>
    <w:rsid w:val="00B07051"/>
    <w:rsid w:val="00B10364"/>
    <w:rsid w:val="00B12AA5"/>
    <w:rsid w:val="00B22145"/>
    <w:rsid w:val="00B25AB2"/>
    <w:rsid w:val="00B26D0A"/>
    <w:rsid w:val="00B3200C"/>
    <w:rsid w:val="00B33F61"/>
    <w:rsid w:val="00B35D2A"/>
    <w:rsid w:val="00B37FA4"/>
    <w:rsid w:val="00B4399D"/>
    <w:rsid w:val="00B54D5C"/>
    <w:rsid w:val="00B57EDB"/>
    <w:rsid w:val="00B73EEE"/>
    <w:rsid w:val="00B75A05"/>
    <w:rsid w:val="00B75A62"/>
    <w:rsid w:val="00B7601F"/>
    <w:rsid w:val="00B85447"/>
    <w:rsid w:val="00B94953"/>
    <w:rsid w:val="00B9678E"/>
    <w:rsid w:val="00BA0AFB"/>
    <w:rsid w:val="00BA16F8"/>
    <w:rsid w:val="00BA2F26"/>
    <w:rsid w:val="00BA3CCF"/>
    <w:rsid w:val="00BA5005"/>
    <w:rsid w:val="00BA6271"/>
    <w:rsid w:val="00BB17D2"/>
    <w:rsid w:val="00BB3ACD"/>
    <w:rsid w:val="00BC39FD"/>
    <w:rsid w:val="00BC429A"/>
    <w:rsid w:val="00BC477D"/>
    <w:rsid w:val="00BD5050"/>
    <w:rsid w:val="00BD59B3"/>
    <w:rsid w:val="00BE4F57"/>
    <w:rsid w:val="00BF01CA"/>
    <w:rsid w:val="00BF7179"/>
    <w:rsid w:val="00C0633D"/>
    <w:rsid w:val="00C10790"/>
    <w:rsid w:val="00C12B31"/>
    <w:rsid w:val="00C20BBB"/>
    <w:rsid w:val="00C20EF6"/>
    <w:rsid w:val="00C23C1B"/>
    <w:rsid w:val="00C32CA1"/>
    <w:rsid w:val="00C36539"/>
    <w:rsid w:val="00C42455"/>
    <w:rsid w:val="00C44D2A"/>
    <w:rsid w:val="00C4531E"/>
    <w:rsid w:val="00C453BD"/>
    <w:rsid w:val="00C51239"/>
    <w:rsid w:val="00C5143F"/>
    <w:rsid w:val="00C6149A"/>
    <w:rsid w:val="00C63CA6"/>
    <w:rsid w:val="00C66827"/>
    <w:rsid w:val="00C66B65"/>
    <w:rsid w:val="00C7572D"/>
    <w:rsid w:val="00C76AF4"/>
    <w:rsid w:val="00C8522A"/>
    <w:rsid w:val="00C8620B"/>
    <w:rsid w:val="00C90AB5"/>
    <w:rsid w:val="00C9185F"/>
    <w:rsid w:val="00C960FE"/>
    <w:rsid w:val="00CA1D9B"/>
    <w:rsid w:val="00CA2BC0"/>
    <w:rsid w:val="00CA31CD"/>
    <w:rsid w:val="00CB0B2E"/>
    <w:rsid w:val="00CB7530"/>
    <w:rsid w:val="00CC2AED"/>
    <w:rsid w:val="00CC4448"/>
    <w:rsid w:val="00CD3F6E"/>
    <w:rsid w:val="00CD6EC9"/>
    <w:rsid w:val="00CE34C2"/>
    <w:rsid w:val="00CE3F43"/>
    <w:rsid w:val="00CE5E5A"/>
    <w:rsid w:val="00CF0EBE"/>
    <w:rsid w:val="00CF40C9"/>
    <w:rsid w:val="00CF4EEB"/>
    <w:rsid w:val="00D05E70"/>
    <w:rsid w:val="00D116A2"/>
    <w:rsid w:val="00D12E0E"/>
    <w:rsid w:val="00D166CD"/>
    <w:rsid w:val="00D22627"/>
    <w:rsid w:val="00D327F6"/>
    <w:rsid w:val="00D36425"/>
    <w:rsid w:val="00D433E4"/>
    <w:rsid w:val="00D435AC"/>
    <w:rsid w:val="00D5110D"/>
    <w:rsid w:val="00D53AB4"/>
    <w:rsid w:val="00D53B49"/>
    <w:rsid w:val="00D64D3F"/>
    <w:rsid w:val="00D75879"/>
    <w:rsid w:val="00D8791D"/>
    <w:rsid w:val="00DA0708"/>
    <w:rsid w:val="00DA5A08"/>
    <w:rsid w:val="00DB0A06"/>
    <w:rsid w:val="00DC0BE7"/>
    <w:rsid w:val="00DC4003"/>
    <w:rsid w:val="00DD2831"/>
    <w:rsid w:val="00DD2ACD"/>
    <w:rsid w:val="00DE0AAC"/>
    <w:rsid w:val="00DF4D07"/>
    <w:rsid w:val="00DF66C3"/>
    <w:rsid w:val="00E03CCA"/>
    <w:rsid w:val="00E148FB"/>
    <w:rsid w:val="00E14D02"/>
    <w:rsid w:val="00E16BD8"/>
    <w:rsid w:val="00E23DF2"/>
    <w:rsid w:val="00E26010"/>
    <w:rsid w:val="00E356C3"/>
    <w:rsid w:val="00E35C07"/>
    <w:rsid w:val="00E40BA4"/>
    <w:rsid w:val="00E41120"/>
    <w:rsid w:val="00E45F80"/>
    <w:rsid w:val="00E57C17"/>
    <w:rsid w:val="00E6095F"/>
    <w:rsid w:val="00E61276"/>
    <w:rsid w:val="00E61795"/>
    <w:rsid w:val="00E6453C"/>
    <w:rsid w:val="00E70772"/>
    <w:rsid w:val="00E71920"/>
    <w:rsid w:val="00E72FC0"/>
    <w:rsid w:val="00E74AC0"/>
    <w:rsid w:val="00E76806"/>
    <w:rsid w:val="00E7686E"/>
    <w:rsid w:val="00E83994"/>
    <w:rsid w:val="00E924CD"/>
    <w:rsid w:val="00E93F80"/>
    <w:rsid w:val="00EA22D9"/>
    <w:rsid w:val="00EA4F3E"/>
    <w:rsid w:val="00EE13A1"/>
    <w:rsid w:val="00EE2D70"/>
    <w:rsid w:val="00EE2FA9"/>
    <w:rsid w:val="00EF4577"/>
    <w:rsid w:val="00F07622"/>
    <w:rsid w:val="00F13657"/>
    <w:rsid w:val="00F16583"/>
    <w:rsid w:val="00F21BB0"/>
    <w:rsid w:val="00F3229E"/>
    <w:rsid w:val="00F326B3"/>
    <w:rsid w:val="00F42DFA"/>
    <w:rsid w:val="00F43DA5"/>
    <w:rsid w:val="00F4460A"/>
    <w:rsid w:val="00F525FA"/>
    <w:rsid w:val="00F52A0B"/>
    <w:rsid w:val="00F55708"/>
    <w:rsid w:val="00F64F2B"/>
    <w:rsid w:val="00F706E8"/>
    <w:rsid w:val="00F72A11"/>
    <w:rsid w:val="00F8692B"/>
    <w:rsid w:val="00F9131D"/>
    <w:rsid w:val="00F915A8"/>
    <w:rsid w:val="00F92D43"/>
    <w:rsid w:val="00F939A5"/>
    <w:rsid w:val="00F93F02"/>
    <w:rsid w:val="00F94CC7"/>
    <w:rsid w:val="00F9770F"/>
    <w:rsid w:val="00FA0028"/>
    <w:rsid w:val="00FA1A19"/>
    <w:rsid w:val="00FA723F"/>
    <w:rsid w:val="00FB3F2C"/>
    <w:rsid w:val="00FB71AE"/>
    <w:rsid w:val="00FC5B66"/>
    <w:rsid w:val="00FC6314"/>
    <w:rsid w:val="00FD24C1"/>
    <w:rsid w:val="00FD459A"/>
    <w:rsid w:val="00FD47F8"/>
    <w:rsid w:val="00FD5F8F"/>
    <w:rsid w:val="00FE2FD2"/>
    <w:rsid w:val="00FF40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57F82"/>
  <w15:docId w15:val="{8B965E02-59B1-41CB-BD56-45D53C43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096172"/>
    <w:pPr>
      <w:keepNext/>
      <w:outlineLvl w:val="0"/>
    </w:pPr>
    <w:rPr>
      <w:rFonts w:cs="Arial"/>
      <w:b/>
      <w:bCs/>
      <w:kern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1">
    <w:name w:val="paragraf1"/>
    <w:basedOn w:val="Normal"/>
    <w:rsid w:val="006C54A7"/>
    <w:pPr>
      <w:shd w:val="clear" w:color="auto" w:fill="FFFFFF"/>
      <w:textAlignment w:val="top"/>
    </w:pPr>
    <w:rPr>
      <w:rFonts w:ascii="Verdana" w:hAnsi="Verdana"/>
      <w:color w:val="000000"/>
    </w:rPr>
  </w:style>
  <w:style w:type="character" w:styleId="Strk">
    <w:name w:val="Strong"/>
    <w:basedOn w:val="Standardskrifttypeiafsnit"/>
    <w:qFormat/>
    <w:rsid w:val="00011D16"/>
    <w:rPr>
      <w:b/>
      <w:bCs/>
    </w:rPr>
  </w:style>
  <w:style w:type="character" w:styleId="Kommentarhenvisning">
    <w:name w:val="annotation reference"/>
    <w:basedOn w:val="Standardskrifttypeiafsnit"/>
    <w:uiPriority w:val="99"/>
    <w:semiHidden/>
    <w:rsid w:val="00011D16"/>
    <w:rPr>
      <w:sz w:val="16"/>
      <w:szCs w:val="16"/>
    </w:rPr>
  </w:style>
  <w:style w:type="paragraph" w:styleId="Kommentartekst">
    <w:name w:val="annotation text"/>
    <w:basedOn w:val="Normal"/>
    <w:link w:val="KommentartekstTegn"/>
    <w:uiPriority w:val="99"/>
    <w:semiHidden/>
    <w:rsid w:val="00011D16"/>
    <w:rPr>
      <w:sz w:val="20"/>
      <w:szCs w:val="20"/>
    </w:rPr>
  </w:style>
  <w:style w:type="paragraph" w:styleId="Markeringsbobletekst">
    <w:name w:val="Balloon Text"/>
    <w:basedOn w:val="Normal"/>
    <w:semiHidden/>
    <w:rsid w:val="00011D16"/>
    <w:rPr>
      <w:rFonts w:ascii="Tahoma" w:hAnsi="Tahoma" w:cs="Tahoma"/>
      <w:sz w:val="16"/>
      <w:szCs w:val="16"/>
    </w:rPr>
  </w:style>
  <w:style w:type="character" w:customStyle="1" w:styleId="liste1nr">
    <w:name w:val="liste1nr"/>
    <w:basedOn w:val="Standardskrifttypeiafsnit"/>
    <w:rsid w:val="00553216"/>
    <w:rPr>
      <w:rFonts w:ascii="Verdana" w:hAnsi="Verdana" w:hint="default"/>
      <w:color w:val="000000"/>
      <w:sz w:val="24"/>
      <w:szCs w:val="24"/>
      <w:bdr w:val="none" w:sz="0" w:space="0" w:color="auto" w:frame="1"/>
    </w:rPr>
  </w:style>
  <w:style w:type="paragraph" w:styleId="Sidefod">
    <w:name w:val="footer"/>
    <w:basedOn w:val="Normal"/>
    <w:link w:val="SidefodTegn"/>
    <w:uiPriority w:val="99"/>
    <w:rsid w:val="00553216"/>
    <w:pPr>
      <w:tabs>
        <w:tab w:val="center" w:pos="4819"/>
        <w:tab w:val="right" w:pos="9638"/>
      </w:tabs>
    </w:pPr>
  </w:style>
  <w:style w:type="character" w:customStyle="1" w:styleId="SidefodTegn">
    <w:name w:val="Sidefod Tegn"/>
    <w:basedOn w:val="Standardskrifttypeiafsnit"/>
    <w:link w:val="Sidefod"/>
    <w:uiPriority w:val="99"/>
    <w:rsid w:val="00553216"/>
    <w:rPr>
      <w:sz w:val="24"/>
      <w:szCs w:val="24"/>
    </w:rPr>
  </w:style>
  <w:style w:type="paragraph" w:styleId="Fodnotetekst">
    <w:name w:val="footnote text"/>
    <w:basedOn w:val="Normal"/>
    <w:link w:val="FodnotetekstTegn"/>
    <w:uiPriority w:val="99"/>
    <w:semiHidden/>
    <w:rsid w:val="00553216"/>
    <w:rPr>
      <w:sz w:val="20"/>
      <w:szCs w:val="20"/>
    </w:rPr>
  </w:style>
  <w:style w:type="character" w:customStyle="1" w:styleId="FodnotetekstTegn">
    <w:name w:val="Fodnotetekst Tegn"/>
    <w:basedOn w:val="Standardskrifttypeiafsnit"/>
    <w:link w:val="Fodnotetekst"/>
    <w:uiPriority w:val="99"/>
    <w:semiHidden/>
    <w:rsid w:val="00553216"/>
  </w:style>
  <w:style w:type="character" w:styleId="Fodnotehenvisning">
    <w:name w:val="footnote reference"/>
    <w:basedOn w:val="Standardskrifttypeiafsnit"/>
    <w:uiPriority w:val="99"/>
    <w:semiHidden/>
    <w:rsid w:val="00553216"/>
    <w:rPr>
      <w:vertAlign w:val="superscript"/>
    </w:rPr>
  </w:style>
  <w:style w:type="paragraph" w:styleId="Sidehoved">
    <w:name w:val="header"/>
    <w:basedOn w:val="Normal"/>
    <w:link w:val="SidehovedTegn"/>
    <w:uiPriority w:val="99"/>
    <w:unhideWhenUsed/>
    <w:rsid w:val="00962895"/>
    <w:pPr>
      <w:tabs>
        <w:tab w:val="center" w:pos="4819"/>
        <w:tab w:val="right" w:pos="9638"/>
      </w:tabs>
    </w:pPr>
  </w:style>
  <w:style w:type="character" w:customStyle="1" w:styleId="SidehovedTegn">
    <w:name w:val="Sidehoved Tegn"/>
    <w:basedOn w:val="Standardskrifttypeiafsnit"/>
    <w:link w:val="Sidehoved"/>
    <w:uiPriority w:val="99"/>
    <w:rsid w:val="00962895"/>
    <w:rPr>
      <w:sz w:val="24"/>
      <w:szCs w:val="24"/>
    </w:rPr>
  </w:style>
  <w:style w:type="character" w:styleId="Fremhv">
    <w:name w:val="Emphasis"/>
    <w:basedOn w:val="Standardskrifttypeiafsnit"/>
    <w:qFormat/>
    <w:rsid w:val="003441B4"/>
    <w:rPr>
      <w:i/>
      <w:iCs/>
    </w:rPr>
  </w:style>
  <w:style w:type="paragraph" w:styleId="Kommentaremne">
    <w:name w:val="annotation subject"/>
    <w:basedOn w:val="Kommentartekst"/>
    <w:next w:val="Kommentartekst"/>
    <w:link w:val="KommentaremneTegn"/>
    <w:uiPriority w:val="99"/>
    <w:semiHidden/>
    <w:unhideWhenUsed/>
    <w:rsid w:val="009609C7"/>
    <w:rPr>
      <w:b/>
      <w:bCs/>
    </w:rPr>
  </w:style>
  <w:style w:type="character" w:customStyle="1" w:styleId="KommentartekstTegn">
    <w:name w:val="Kommentartekst Tegn"/>
    <w:basedOn w:val="Standardskrifttypeiafsnit"/>
    <w:link w:val="Kommentartekst"/>
    <w:uiPriority w:val="99"/>
    <w:semiHidden/>
    <w:rsid w:val="009609C7"/>
  </w:style>
  <w:style w:type="character" w:customStyle="1" w:styleId="KommentaremneTegn">
    <w:name w:val="Kommentaremne Tegn"/>
    <w:basedOn w:val="KommentartekstTegn"/>
    <w:link w:val="Kommentaremne"/>
    <w:rsid w:val="009609C7"/>
  </w:style>
  <w:style w:type="paragraph" w:styleId="Listeafsnit">
    <w:name w:val="List Paragraph"/>
    <w:basedOn w:val="Normal"/>
    <w:uiPriority w:val="34"/>
    <w:rsid w:val="0043020A"/>
    <w:pPr>
      <w:spacing w:line="280" w:lineRule="exact"/>
      <w:ind w:left="720"/>
      <w:contextualSpacing/>
      <w:jc w:val="both"/>
    </w:pPr>
    <w:rPr>
      <w:rFonts w:ascii="Arial" w:eastAsia="Calibri" w:hAnsi="Arial"/>
      <w:sz w:val="21"/>
      <w:szCs w:val="22"/>
      <w:lang w:eastAsia="en-US"/>
    </w:rPr>
  </w:style>
  <w:style w:type="paragraph" w:styleId="Brdtekst">
    <w:name w:val="Body Text"/>
    <w:basedOn w:val="Normal"/>
    <w:link w:val="BrdtekstTegn"/>
    <w:rsid w:val="002427D3"/>
    <w:pPr>
      <w:spacing w:line="280" w:lineRule="exact"/>
      <w:jc w:val="both"/>
    </w:pPr>
    <w:rPr>
      <w:rFonts w:ascii="Arial" w:hAnsi="Arial"/>
      <w:sz w:val="21"/>
      <w:szCs w:val="20"/>
    </w:rPr>
  </w:style>
  <w:style w:type="character" w:customStyle="1" w:styleId="BrdtekstTegn">
    <w:name w:val="Brødtekst Tegn"/>
    <w:basedOn w:val="Standardskrifttypeiafsnit"/>
    <w:link w:val="Brdtekst"/>
    <w:rsid w:val="002427D3"/>
    <w:rPr>
      <w:rFonts w:ascii="Arial" w:hAnsi="Arial"/>
      <w:sz w:val="21"/>
    </w:rPr>
  </w:style>
  <w:style w:type="paragraph" w:customStyle="1" w:styleId="CM1">
    <w:name w:val="CM1"/>
    <w:basedOn w:val="Normal"/>
    <w:next w:val="Normal"/>
    <w:uiPriority w:val="99"/>
    <w:rsid w:val="00246E41"/>
    <w:pPr>
      <w:autoSpaceDE w:val="0"/>
      <w:autoSpaceDN w:val="0"/>
      <w:adjustRightInd w:val="0"/>
    </w:pPr>
    <w:rPr>
      <w:rFonts w:ascii="EUAlbertina" w:hAnsi="EUAlbertina"/>
    </w:rPr>
  </w:style>
  <w:style w:type="paragraph" w:customStyle="1" w:styleId="CM3">
    <w:name w:val="CM3"/>
    <w:basedOn w:val="Normal"/>
    <w:next w:val="Normal"/>
    <w:uiPriority w:val="99"/>
    <w:rsid w:val="00246E41"/>
    <w:pPr>
      <w:autoSpaceDE w:val="0"/>
      <w:autoSpaceDN w:val="0"/>
      <w:adjustRightInd w:val="0"/>
    </w:pPr>
    <w:rPr>
      <w:rFonts w:ascii="EUAlbertina" w:hAnsi="EUAlbertina"/>
    </w:rPr>
  </w:style>
  <w:style w:type="paragraph" w:customStyle="1" w:styleId="CM4">
    <w:name w:val="CM4"/>
    <w:basedOn w:val="Normal"/>
    <w:next w:val="Normal"/>
    <w:uiPriority w:val="99"/>
    <w:rsid w:val="00246E41"/>
    <w:pPr>
      <w:autoSpaceDE w:val="0"/>
      <w:autoSpaceDN w:val="0"/>
      <w:adjustRightInd w:val="0"/>
    </w:pPr>
    <w:rPr>
      <w:rFonts w:ascii="EUAlbertina" w:hAnsi="EUAlbertina"/>
    </w:rPr>
  </w:style>
  <w:style w:type="paragraph" w:customStyle="1" w:styleId="Normal1">
    <w:name w:val="Normal1"/>
    <w:basedOn w:val="Normal"/>
    <w:rsid w:val="00AD18BA"/>
    <w:pPr>
      <w:spacing w:before="120"/>
      <w:jc w:val="both"/>
    </w:pPr>
  </w:style>
  <w:style w:type="character" w:customStyle="1" w:styleId="bold">
    <w:name w:val="bold"/>
    <w:basedOn w:val="Standardskrifttypeiafsnit"/>
    <w:rsid w:val="00AD18BA"/>
    <w:rPr>
      <w:b/>
      <w:bCs/>
    </w:rPr>
  </w:style>
  <w:style w:type="character" w:customStyle="1" w:styleId="sub">
    <w:name w:val="sub"/>
    <w:basedOn w:val="Standardskrifttypeiafsnit"/>
    <w:rsid w:val="00AD18BA"/>
    <w:rPr>
      <w:sz w:val="17"/>
      <w:szCs w:val="17"/>
      <w:vertAlign w:val="subscript"/>
    </w:rPr>
  </w:style>
  <w:style w:type="paragraph" w:customStyle="1" w:styleId="ti-art">
    <w:name w:val="ti-art"/>
    <w:basedOn w:val="Normal"/>
    <w:rsid w:val="00B75A05"/>
    <w:pPr>
      <w:spacing w:before="360" w:after="120"/>
      <w:jc w:val="center"/>
    </w:pPr>
    <w:rPr>
      <w:i/>
      <w:iCs/>
    </w:rPr>
  </w:style>
  <w:style w:type="paragraph" w:customStyle="1" w:styleId="Normal2">
    <w:name w:val="Normal2"/>
    <w:basedOn w:val="Normal"/>
    <w:rsid w:val="00B02CF1"/>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D3CC-692A-4A8C-BBA5-00A33DEB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8293</Words>
  <Characters>55109</Characters>
  <Application>Microsoft Office Word</Application>
  <DocSecurity>0</DocSecurity>
  <Lines>459</Lines>
  <Paragraphs>126</Paragraphs>
  <ScaleCrop>false</ScaleCrop>
  <HeadingPairs>
    <vt:vector size="2" baseType="variant">
      <vt:variant>
        <vt:lpstr>Titel</vt:lpstr>
      </vt:variant>
      <vt:variant>
        <vt:i4>1</vt:i4>
      </vt:variant>
    </vt:vector>
  </HeadingPairs>
  <TitlesOfParts>
    <vt:vector size="1" baseType="lpstr">
      <vt:lpstr>Statusskema (PI08)</vt:lpstr>
    </vt:vector>
  </TitlesOfParts>
  <Company>Finanstilsynet</Company>
  <LinksUpToDate>false</LinksUpToDate>
  <CharactersWithSpaces>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Statusskema (PI08)</dc:title>
  <dc:subject>Statusskema for pengeinstitutter og realkreditinstitutter: Kapitalstruktur</dc:subject>
  <dc:creator>Finanstilsynet</dc:creator>
  <cp:lastModifiedBy>Kathrine Halmøe Schjødt (FT)</cp:lastModifiedBy>
  <cp:revision>2</cp:revision>
  <cp:lastPrinted>2014-10-03T08:20:00Z</cp:lastPrinted>
  <dcterms:created xsi:type="dcterms:W3CDTF">2020-01-07T11:48:00Z</dcterms:created>
  <dcterms:modified xsi:type="dcterms:W3CDTF">2020-01-07T11:48:00Z</dcterms:modified>
</cp:coreProperties>
</file>